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sdt>
          <w:sdtPr>
            <w:id w:val="-1100404251"/>
            <w:showingPlcHdr/>
            <w:picture/>
          </w:sdtPr>
          <w:sdtEndPr/>
          <w:sdtContent>
            <w:tc>
              <w:tcPr>
                <w:tcW w:w="2896" w:type="dxa"/>
              </w:tcPr>
              <w:p w14:paraId="4939F90B" w14:textId="1004D120"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416AD5FB" w:rsidR="00D64EE1" w:rsidRPr="00807650" w:rsidRDefault="000A1EA2" w:rsidP="00D64EE1">
      <w:pPr>
        <w:tabs>
          <w:tab w:val="left" w:pos="8895"/>
          <w:tab w:val="left" w:pos="9135"/>
        </w:tabs>
        <w:spacing w:after="240"/>
        <w:ind w:left="-360" w:right="-720" w:hanging="360"/>
        <w:rPr>
          <w:rFonts w:ascii="Arial" w:hAnsi="Arial" w:cs="Arial"/>
          <w:color w:val="175E95" w:themeColor="accent1"/>
          <w:sz w:val="48"/>
          <w:szCs w:val="20"/>
        </w:rPr>
        <w:sectPr w:rsidR="00D64EE1" w:rsidRPr="00807650" w:rsidSect="00D64EE1">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r w:rsidRPr="000A1EA2">
        <w:rPr>
          <w:rFonts w:ascii="Arial" w:hAnsi="Arial" w:cs="Arial"/>
          <w:color w:val="175E95" w:themeColor="accent1"/>
          <w:sz w:val="48"/>
          <w:szCs w:val="20"/>
        </w:rPr>
        <w:t>Is a Recession Needed to Tame the Bear?</w:t>
      </w:r>
    </w:p>
    <w:p w14:paraId="1A25A1AE" w14:textId="77777777" w:rsidR="009303F8" w:rsidRPr="00ED23F0" w:rsidRDefault="00B61328" w:rsidP="009303F8">
      <w:pPr>
        <w:spacing w:after="120"/>
        <w:ind w:left="-720" w:right="-720"/>
        <w:rPr>
          <w:rFonts w:ascii="Arial" w:hAnsi="Arial" w:cs="Arial"/>
          <w:sz w:val="20"/>
          <w:szCs w:val="20"/>
        </w:rPr>
      </w:pPr>
      <w:bookmarkStart w:id="0" w:name="_Hlk107337988"/>
      <w:r w:rsidRPr="00ED23F0">
        <w:rPr>
          <w:rFonts w:ascii="Arial" w:hAnsi="Arial" w:cs="Arial"/>
          <w:sz w:val="20"/>
          <w:szCs w:val="20"/>
        </w:rPr>
        <w:t xml:space="preserve">There’s a “hurricane” coming for the US economy. Headlines from titans like Jamie Dimon, JPMorgan Chase CEO, have fueled predictions about the next recession. </w:t>
      </w:r>
      <w:r w:rsidR="009303F8" w:rsidRPr="00ED23F0">
        <w:rPr>
          <w:rFonts w:ascii="Arial" w:hAnsi="Arial" w:cs="Arial"/>
          <w:sz w:val="20"/>
          <w:szCs w:val="20"/>
        </w:rPr>
        <w:t xml:space="preserve">This has clearly spooked investors, who are left wondering how to shield themselves from the challenges that may lie ahead. If another recession is looming, will the markets not recover until the recession has ended? While it’s impossible to predict what is going to happen next, we can learn from history. Let’s </w:t>
      </w:r>
      <w:proofErr w:type="gramStart"/>
      <w:r w:rsidR="009303F8" w:rsidRPr="00ED23F0">
        <w:rPr>
          <w:rFonts w:ascii="Arial" w:hAnsi="Arial" w:cs="Arial"/>
          <w:sz w:val="20"/>
          <w:szCs w:val="20"/>
        </w:rPr>
        <w:t>take a look</w:t>
      </w:r>
      <w:proofErr w:type="gramEnd"/>
      <w:r w:rsidR="009303F8" w:rsidRPr="00ED23F0">
        <w:rPr>
          <w:rFonts w:ascii="Arial" w:hAnsi="Arial" w:cs="Arial"/>
          <w:sz w:val="20"/>
          <w:szCs w:val="20"/>
        </w:rPr>
        <w:t xml:space="preserve"> at the differences between a bear market and a recession, and how stocks have performed during a recession. </w:t>
      </w:r>
    </w:p>
    <w:p w14:paraId="047729DC" w14:textId="586E872E" w:rsidR="00B61328" w:rsidRPr="00ED23F0" w:rsidRDefault="00B61328" w:rsidP="00B61328">
      <w:pPr>
        <w:spacing w:after="120"/>
        <w:ind w:left="-720" w:right="-720"/>
        <w:rPr>
          <w:rFonts w:ascii="Arial" w:hAnsi="Arial" w:cs="Arial"/>
          <w:sz w:val="20"/>
          <w:szCs w:val="20"/>
        </w:rPr>
      </w:pPr>
      <w:r w:rsidRPr="00ED23F0">
        <w:rPr>
          <w:rFonts w:ascii="Arial" w:hAnsi="Arial" w:cs="Arial"/>
          <w:sz w:val="20"/>
          <w:szCs w:val="20"/>
        </w:rPr>
        <w:t xml:space="preserve">A simple definition of a recession is two consecutive quarters of negative </w:t>
      </w:r>
      <w:r w:rsidR="007C3EC9" w:rsidRPr="00ED23F0">
        <w:rPr>
          <w:rFonts w:ascii="Arial" w:hAnsi="Arial" w:cs="Arial"/>
          <w:sz w:val="20"/>
          <w:szCs w:val="20"/>
        </w:rPr>
        <w:t>Gross Domestic Product (</w:t>
      </w:r>
      <w:r w:rsidRPr="00ED23F0">
        <w:rPr>
          <w:rFonts w:ascii="Arial" w:hAnsi="Arial" w:cs="Arial"/>
          <w:sz w:val="20"/>
          <w:szCs w:val="20"/>
        </w:rPr>
        <w:t>GDP</w:t>
      </w:r>
      <w:r w:rsidR="007C3EC9" w:rsidRPr="00ED23F0">
        <w:rPr>
          <w:rFonts w:ascii="Arial" w:hAnsi="Arial" w:cs="Arial"/>
          <w:sz w:val="20"/>
          <w:szCs w:val="20"/>
        </w:rPr>
        <w:t>)</w:t>
      </w:r>
      <w:r w:rsidR="007C3EC9" w:rsidRPr="00ED23F0">
        <w:rPr>
          <w:rStyle w:val="EndnoteReference"/>
          <w:rFonts w:ascii="Arial" w:hAnsi="Arial" w:cs="Arial"/>
          <w:sz w:val="20"/>
          <w:szCs w:val="20"/>
        </w:rPr>
        <w:endnoteReference w:id="2"/>
      </w:r>
      <w:r w:rsidRPr="00ED23F0">
        <w:rPr>
          <w:rFonts w:ascii="Arial" w:hAnsi="Arial" w:cs="Arial"/>
          <w:sz w:val="20"/>
          <w:szCs w:val="20"/>
        </w:rPr>
        <w:t xml:space="preserve"> growth. While this does not meet the full scope of a recession, as defined by the National Bureau of Economic Research (NBER), it does provide a guideline. To date, we have only seen a single quarter of negative growth in 2022, so technically a recession has not yet started. Economic statistics are backward-looking, so it will take some time before the NBER declares the economy in an official recession. </w:t>
      </w:r>
    </w:p>
    <w:p w14:paraId="6A8D9557" w14:textId="52B7D360" w:rsidR="00B61328" w:rsidRPr="00ED23F0" w:rsidRDefault="00B61328" w:rsidP="00B61328">
      <w:pPr>
        <w:spacing w:after="120"/>
        <w:ind w:left="-720" w:right="-720"/>
        <w:rPr>
          <w:rFonts w:ascii="Arial" w:hAnsi="Arial" w:cs="Arial"/>
          <w:sz w:val="20"/>
          <w:szCs w:val="20"/>
        </w:rPr>
      </w:pPr>
      <w:r w:rsidRPr="00ED23F0">
        <w:rPr>
          <w:rFonts w:ascii="Arial" w:hAnsi="Arial" w:cs="Arial"/>
          <w:sz w:val="20"/>
          <w:szCs w:val="20"/>
        </w:rPr>
        <w:t>A bear market</w:t>
      </w:r>
      <w:r w:rsidR="007C3EC9" w:rsidRPr="00ED23F0">
        <w:rPr>
          <w:rFonts w:ascii="Arial" w:hAnsi="Arial" w:cs="Arial"/>
          <w:sz w:val="20"/>
          <w:szCs w:val="20"/>
        </w:rPr>
        <w:t>,</w:t>
      </w:r>
      <w:r w:rsidRPr="00ED23F0">
        <w:rPr>
          <w:rFonts w:ascii="Arial" w:hAnsi="Arial" w:cs="Arial"/>
          <w:sz w:val="20"/>
          <w:szCs w:val="20"/>
        </w:rPr>
        <w:t xml:space="preserve"> on the other hand</w:t>
      </w:r>
      <w:r w:rsidR="007C3EC9" w:rsidRPr="00ED23F0">
        <w:rPr>
          <w:rFonts w:ascii="Arial" w:hAnsi="Arial" w:cs="Arial"/>
          <w:sz w:val="20"/>
          <w:szCs w:val="20"/>
        </w:rPr>
        <w:t>,</w:t>
      </w:r>
      <w:r w:rsidRPr="00ED23F0">
        <w:rPr>
          <w:rFonts w:ascii="Arial" w:hAnsi="Arial" w:cs="Arial"/>
          <w:sz w:val="20"/>
          <w:szCs w:val="20"/>
        </w:rPr>
        <w:t xml:space="preserve"> is associated with the stock market and is defined as a 20% decline in prices from its last peak.  The stock market tends to be forward-looking and often starts going down before the economy turns south and similarly starts turning back up before the recession ends. This is evident by looking at the S&amp;P 500 performance from market highs to lows from the start to the end of a recession.  </w:t>
      </w:r>
    </w:p>
    <w:p w14:paraId="54A72231" w14:textId="77777777" w:rsidR="00B61328" w:rsidRPr="00ED23F0" w:rsidRDefault="00B61328" w:rsidP="00B61328">
      <w:pPr>
        <w:pStyle w:val="ListParagraph"/>
        <w:numPr>
          <w:ilvl w:val="0"/>
          <w:numId w:val="10"/>
        </w:numPr>
        <w:spacing w:after="120"/>
        <w:ind w:right="-720"/>
        <w:rPr>
          <w:rFonts w:ascii="Arial" w:hAnsi="Arial" w:cs="Arial"/>
          <w:sz w:val="20"/>
          <w:szCs w:val="20"/>
        </w:rPr>
      </w:pPr>
      <w:r w:rsidRPr="00ED23F0">
        <w:rPr>
          <w:rFonts w:ascii="Arial" w:hAnsi="Arial" w:cs="Arial"/>
          <w:sz w:val="20"/>
          <w:szCs w:val="20"/>
        </w:rPr>
        <w:t>Since 1953, the US has experienced 11 recessions, during which, on average, stocks did worse before a recession began than during the recession itself</w:t>
      </w:r>
      <w:r w:rsidRPr="00ED23F0">
        <w:rPr>
          <w:rStyle w:val="EndnoteReference"/>
          <w:rFonts w:ascii="Arial" w:hAnsi="Arial" w:cs="Arial"/>
          <w:sz w:val="20"/>
          <w:szCs w:val="20"/>
        </w:rPr>
        <w:endnoteReference w:id="3"/>
      </w:r>
      <w:r w:rsidRPr="00ED23F0">
        <w:rPr>
          <w:rFonts w:ascii="Arial" w:hAnsi="Arial" w:cs="Arial"/>
          <w:sz w:val="20"/>
          <w:szCs w:val="20"/>
        </w:rPr>
        <w:t xml:space="preserve">. </w:t>
      </w:r>
    </w:p>
    <w:p w14:paraId="2AD787BF" w14:textId="45AD40EC" w:rsidR="00B61328" w:rsidRPr="00ED23F0" w:rsidRDefault="00B61328" w:rsidP="00B61328">
      <w:pPr>
        <w:pStyle w:val="ListParagraph"/>
        <w:numPr>
          <w:ilvl w:val="0"/>
          <w:numId w:val="10"/>
        </w:numPr>
        <w:spacing w:after="120"/>
        <w:ind w:right="-720"/>
        <w:rPr>
          <w:rFonts w:ascii="Arial" w:hAnsi="Arial" w:cs="Arial"/>
          <w:sz w:val="20"/>
          <w:szCs w:val="20"/>
        </w:rPr>
      </w:pPr>
      <w:r w:rsidRPr="00ED23F0">
        <w:rPr>
          <w:rFonts w:ascii="Arial" w:hAnsi="Arial" w:cs="Arial"/>
          <w:sz w:val="20"/>
          <w:szCs w:val="20"/>
        </w:rPr>
        <w:t>Since 1953, the stock market</w:t>
      </w:r>
      <w:r w:rsidR="007C3EC9" w:rsidRPr="00ED23F0">
        <w:rPr>
          <w:rFonts w:ascii="Arial" w:hAnsi="Arial" w:cs="Arial"/>
          <w:sz w:val="20"/>
          <w:szCs w:val="20"/>
        </w:rPr>
        <w:t>,</w:t>
      </w:r>
      <w:r w:rsidRPr="00ED23F0">
        <w:rPr>
          <w:rFonts w:ascii="Arial" w:hAnsi="Arial" w:cs="Arial"/>
          <w:sz w:val="20"/>
          <w:szCs w:val="20"/>
        </w:rPr>
        <w:t xml:space="preserve"> on average, peaked six months before the start of the recession and incurred most of the losses during that period</w:t>
      </w:r>
      <w:r w:rsidRPr="00ED23F0">
        <w:rPr>
          <w:rStyle w:val="EndnoteReference"/>
          <w:rFonts w:ascii="Arial" w:hAnsi="Arial" w:cs="Arial"/>
          <w:sz w:val="20"/>
          <w:szCs w:val="20"/>
        </w:rPr>
        <w:endnoteReference w:id="4"/>
      </w:r>
      <w:r w:rsidRPr="00ED23F0">
        <w:rPr>
          <w:rFonts w:ascii="Arial" w:hAnsi="Arial" w:cs="Arial"/>
          <w:sz w:val="20"/>
          <w:szCs w:val="20"/>
        </w:rPr>
        <w:t xml:space="preserve">. </w:t>
      </w:r>
    </w:p>
    <w:p w14:paraId="7E15E0F0" w14:textId="74CDD680" w:rsidR="00B61328" w:rsidRDefault="00B61328" w:rsidP="00B61328">
      <w:pPr>
        <w:pStyle w:val="ListParagraph"/>
        <w:numPr>
          <w:ilvl w:val="0"/>
          <w:numId w:val="10"/>
        </w:numPr>
        <w:spacing w:after="240"/>
        <w:ind w:right="-720"/>
        <w:rPr>
          <w:rFonts w:ascii="Arial" w:hAnsi="Arial" w:cs="Arial"/>
          <w:sz w:val="20"/>
          <w:szCs w:val="20"/>
        </w:rPr>
      </w:pPr>
      <w:r w:rsidRPr="00ED23F0">
        <w:rPr>
          <w:rFonts w:ascii="Arial" w:hAnsi="Arial" w:cs="Arial"/>
          <w:sz w:val="20"/>
          <w:szCs w:val="20"/>
        </w:rPr>
        <w:t>Looking at the market recovery, in all but the technology crash of 2001, the market on average bottomed three months before the recession ended</w:t>
      </w:r>
      <w:r w:rsidR="007C3EC9" w:rsidRPr="00ED23F0">
        <w:rPr>
          <w:rFonts w:ascii="Arial" w:hAnsi="Arial" w:cs="Arial"/>
          <w:sz w:val="20"/>
          <w:szCs w:val="20"/>
        </w:rPr>
        <w:t>,</w:t>
      </w:r>
      <w:r w:rsidRPr="00ED23F0">
        <w:rPr>
          <w:rFonts w:ascii="Arial" w:hAnsi="Arial" w:cs="Arial"/>
          <w:sz w:val="20"/>
          <w:szCs w:val="20"/>
        </w:rPr>
        <w:t xml:space="preserve"> with significant positive returns from the lows to the end of the recession</w:t>
      </w:r>
      <w:r w:rsidRPr="00ED23F0">
        <w:rPr>
          <w:rStyle w:val="EndnoteReference"/>
          <w:rFonts w:ascii="Arial" w:hAnsi="Arial" w:cs="Arial"/>
          <w:sz w:val="20"/>
          <w:szCs w:val="20"/>
        </w:rPr>
        <w:endnoteReference w:id="5"/>
      </w:r>
      <w:r w:rsidRPr="00ED23F0">
        <w:rPr>
          <w:rFonts w:ascii="Arial" w:hAnsi="Arial" w:cs="Arial"/>
          <w:sz w:val="20"/>
          <w:szCs w:val="20"/>
        </w:rPr>
        <w:t>.</w:t>
      </w:r>
    </w:p>
    <w:tbl>
      <w:tblPr>
        <w:tblW w:w="10080" w:type="dxa"/>
        <w:tblCellMar>
          <w:left w:w="0" w:type="dxa"/>
          <w:right w:w="0" w:type="dxa"/>
        </w:tblCellMar>
        <w:tblLook w:val="0420" w:firstRow="1" w:lastRow="0" w:firstColumn="0" w:lastColumn="0" w:noHBand="0" w:noVBand="1"/>
      </w:tblPr>
      <w:tblGrid>
        <w:gridCol w:w="1286"/>
        <w:gridCol w:w="1373"/>
        <w:gridCol w:w="1887"/>
        <w:gridCol w:w="1887"/>
        <w:gridCol w:w="1887"/>
        <w:gridCol w:w="1760"/>
      </w:tblGrid>
      <w:tr w:rsidR="00B61328" w:rsidRPr="00BE5FA7" w14:paraId="32914914" w14:textId="77777777" w:rsidTr="00ED23F0">
        <w:trPr>
          <w:trHeight w:val="97"/>
        </w:trPr>
        <w:tc>
          <w:tcPr>
            <w:tcW w:w="1286" w:type="dxa"/>
            <w:tcBorders>
              <w:top w:val="single" w:sz="8" w:space="0" w:color="16376A"/>
              <w:left w:val="nil"/>
              <w:bottom w:val="single" w:sz="8" w:space="0" w:color="16376A"/>
              <w:right w:val="nil"/>
            </w:tcBorders>
            <w:shd w:val="clear" w:color="auto" w:fill="F3F5F7"/>
            <w:tcMar>
              <w:top w:w="15" w:type="dxa"/>
              <w:left w:w="15" w:type="dxa"/>
              <w:bottom w:w="0" w:type="dxa"/>
              <w:right w:w="15" w:type="dxa"/>
            </w:tcMar>
            <w:vAlign w:val="center"/>
            <w:hideMark/>
          </w:tcPr>
          <w:p w14:paraId="1837C254" w14:textId="77777777" w:rsidR="00B61328" w:rsidRPr="00B61328" w:rsidRDefault="00B61328" w:rsidP="000E1255">
            <w:pPr>
              <w:spacing w:after="0" w:line="240" w:lineRule="auto"/>
              <w:jc w:val="center"/>
              <w:rPr>
                <w:rFonts w:ascii="Arial" w:hAnsi="Arial" w:cs="Arial"/>
                <w:color w:val="175E95" w:themeColor="accent1"/>
                <w:sz w:val="20"/>
                <w:szCs w:val="20"/>
              </w:rPr>
            </w:pPr>
            <w:r w:rsidRPr="00B61328">
              <w:rPr>
                <w:rFonts w:ascii="Arial" w:hAnsi="Arial" w:cs="Arial"/>
                <w:color w:val="175E95" w:themeColor="accent1"/>
                <w:kern w:val="24"/>
                <w:sz w:val="20"/>
                <w:szCs w:val="20"/>
              </w:rPr>
              <w:t xml:space="preserve">Start of </w:t>
            </w:r>
            <w:r w:rsidRPr="00B61328">
              <w:rPr>
                <w:rFonts w:ascii="Arial" w:hAnsi="Arial" w:cs="Arial"/>
                <w:color w:val="175E95" w:themeColor="accent1"/>
                <w:kern w:val="24"/>
                <w:sz w:val="20"/>
                <w:szCs w:val="20"/>
              </w:rPr>
              <w:br/>
              <w:t>recession</w:t>
            </w:r>
          </w:p>
        </w:tc>
        <w:tc>
          <w:tcPr>
            <w:tcW w:w="1373" w:type="dxa"/>
            <w:tcBorders>
              <w:top w:val="single" w:sz="8" w:space="0" w:color="16376A"/>
              <w:left w:val="nil"/>
              <w:bottom w:val="single" w:sz="8" w:space="0" w:color="16376A"/>
              <w:right w:val="nil"/>
            </w:tcBorders>
            <w:shd w:val="clear" w:color="auto" w:fill="F3F5F7"/>
            <w:tcMar>
              <w:top w:w="15" w:type="dxa"/>
              <w:left w:w="15" w:type="dxa"/>
              <w:bottom w:w="0" w:type="dxa"/>
              <w:right w:w="15" w:type="dxa"/>
            </w:tcMar>
            <w:vAlign w:val="center"/>
            <w:hideMark/>
          </w:tcPr>
          <w:p w14:paraId="2E26CB43" w14:textId="77777777" w:rsidR="00B61328" w:rsidRPr="00B61328" w:rsidRDefault="00B61328" w:rsidP="000E1255">
            <w:pPr>
              <w:spacing w:after="0" w:line="240" w:lineRule="auto"/>
              <w:jc w:val="center"/>
              <w:rPr>
                <w:rFonts w:ascii="Arial" w:hAnsi="Arial" w:cs="Arial"/>
                <w:color w:val="175E95" w:themeColor="accent1"/>
                <w:sz w:val="20"/>
                <w:szCs w:val="20"/>
              </w:rPr>
            </w:pPr>
            <w:r w:rsidRPr="00B61328">
              <w:rPr>
                <w:rFonts w:ascii="Arial" w:hAnsi="Arial" w:cs="Arial"/>
                <w:color w:val="175E95" w:themeColor="accent1"/>
                <w:kern w:val="24"/>
                <w:sz w:val="20"/>
                <w:szCs w:val="20"/>
              </w:rPr>
              <w:t xml:space="preserve">End of recession </w:t>
            </w:r>
          </w:p>
        </w:tc>
        <w:tc>
          <w:tcPr>
            <w:tcW w:w="1887" w:type="dxa"/>
            <w:tcBorders>
              <w:top w:val="single" w:sz="8" w:space="0" w:color="16376A"/>
              <w:left w:val="nil"/>
              <w:bottom w:val="single" w:sz="8" w:space="0" w:color="16376A"/>
              <w:right w:val="nil"/>
            </w:tcBorders>
            <w:shd w:val="clear" w:color="auto" w:fill="F3F5F7"/>
            <w:tcMar>
              <w:top w:w="15" w:type="dxa"/>
              <w:left w:w="15" w:type="dxa"/>
              <w:bottom w:w="0" w:type="dxa"/>
              <w:right w:w="15" w:type="dxa"/>
            </w:tcMar>
            <w:vAlign w:val="center"/>
            <w:hideMark/>
          </w:tcPr>
          <w:p w14:paraId="21508C67" w14:textId="0DB54831" w:rsidR="00B61328" w:rsidRPr="00B61328" w:rsidRDefault="00B61328" w:rsidP="000E1255">
            <w:pPr>
              <w:spacing w:after="0" w:line="240" w:lineRule="auto"/>
              <w:jc w:val="center"/>
              <w:rPr>
                <w:rFonts w:ascii="Arial" w:hAnsi="Arial" w:cs="Arial"/>
                <w:color w:val="175E95" w:themeColor="accent1"/>
                <w:kern w:val="24"/>
                <w:sz w:val="20"/>
                <w:szCs w:val="20"/>
              </w:rPr>
            </w:pPr>
            <w:r w:rsidRPr="00B61328">
              <w:rPr>
                <w:rFonts w:ascii="Arial" w:hAnsi="Arial" w:cs="Arial"/>
                <w:color w:val="175E95" w:themeColor="accent1"/>
                <w:kern w:val="24"/>
                <w:sz w:val="20"/>
                <w:szCs w:val="20"/>
              </w:rPr>
              <w:t xml:space="preserve">S&amp;P 500 peak prior to </w:t>
            </w:r>
            <w:r w:rsidR="007C3EC9">
              <w:rPr>
                <w:rFonts w:ascii="Arial" w:hAnsi="Arial" w:cs="Arial"/>
                <w:color w:val="175E95" w:themeColor="accent1"/>
                <w:kern w:val="24"/>
                <w:sz w:val="20"/>
                <w:szCs w:val="20"/>
              </w:rPr>
              <w:t xml:space="preserve">the </w:t>
            </w:r>
            <w:r w:rsidRPr="00B61328">
              <w:rPr>
                <w:rFonts w:ascii="Arial" w:hAnsi="Arial" w:cs="Arial"/>
                <w:color w:val="175E95" w:themeColor="accent1"/>
                <w:kern w:val="24"/>
                <w:sz w:val="20"/>
                <w:szCs w:val="20"/>
              </w:rPr>
              <w:t xml:space="preserve">start of </w:t>
            </w:r>
            <w:r w:rsidR="007C3EC9">
              <w:rPr>
                <w:rFonts w:ascii="Arial" w:hAnsi="Arial" w:cs="Arial"/>
                <w:color w:val="175E95" w:themeColor="accent1"/>
                <w:kern w:val="24"/>
                <w:sz w:val="20"/>
                <w:szCs w:val="20"/>
              </w:rPr>
              <w:t xml:space="preserve">the </w:t>
            </w:r>
            <w:r w:rsidRPr="00B61328">
              <w:rPr>
                <w:rFonts w:ascii="Arial" w:hAnsi="Arial" w:cs="Arial"/>
                <w:color w:val="175E95" w:themeColor="accent1"/>
                <w:kern w:val="24"/>
                <w:sz w:val="20"/>
                <w:szCs w:val="20"/>
              </w:rPr>
              <w:t>recession (months)</w:t>
            </w:r>
          </w:p>
        </w:tc>
        <w:tc>
          <w:tcPr>
            <w:tcW w:w="1887" w:type="dxa"/>
            <w:tcBorders>
              <w:top w:val="single" w:sz="8" w:space="0" w:color="16376A"/>
              <w:left w:val="nil"/>
              <w:bottom w:val="single" w:sz="8" w:space="0" w:color="16376A"/>
              <w:right w:val="nil"/>
            </w:tcBorders>
            <w:shd w:val="clear" w:color="auto" w:fill="F3F5F7"/>
            <w:tcMar>
              <w:top w:w="15" w:type="dxa"/>
              <w:left w:w="15" w:type="dxa"/>
              <w:bottom w:w="0" w:type="dxa"/>
              <w:right w:w="15" w:type="dxa"/>
            </w:tcMar>
            <w:vAlign w:val="center"/>
            <w:hideMark/>
          </w:tcPr>
          <w:p w14:paraId="2A2714B3" w14:textId="1EEB9CD0" w:rsidR="00B61328" w:rsidRPr="00B61328" w:rsidRDefault="00B61328" w:rsidP="000E1255">
            <w:pPr>
              <w:spacing w:after="0" w:line="240" w:lineRule="auto"/>
              <w:jc w:val="center"/>
              <w:rPr>
                <w:rFonts w:ascii="Arial" w:hAnsi="Arial" w:cs="Arial"/>
                <w:color w:val="175E95" w:themeColor="accent1"/>
                <w:sz w:val="20"/>
                <w:szCs w:val="20"/>
              </w:rPr>
            </w:pPr>
            <w:r w:rsidRPr="00B61328">
              <w:rPr>
                <w:rFonts w:ascii="Arial" w:hAnsi="Arial" w:cs="Arial"/>
                <w:color w:val="175E95" w:themeColor="accent1"/>
                <w:kern w:val="24"/>
                <w:sz w:val="20"/>
                <w:szCs w:val="20"/>
              </w:rPr>
              <w:t xml:space="preserve">Return from </w:t>
            </w:r>
            <w:r w:rsidR="00D21DA0">
              <w:rPr>
                <w:rFonts w:ascii="Arial" w:hAnsi="Arial" w:cs="Arial"/>
                <w:color w:val="175E95" w:themeColor="accent1"/>
                <w:kern w:val="24"/>
                <w:sz w:val="20"/>
                <w:szCs w:val="20"/>
              </w:rPr>
              <w:t>peak</w:t>
            </w:r>
            <w:r w:rsidRPr="00B61328">
              <w:rPr>
                <w:rFonts w:ascii="Arial" w:hAnsi="Arial" w:cs="Arial"/>
                <w:color w:val="175E95" w:themeColor="accent1"/>
                <w:kern w:val="24"/>
                <w:sz w:val="20"/>
                <w:szCs w:val="20"/>
              </w:rPr>
              <w:t xml:space="preserve"> </w:t>
            </w:r>
            <w:r w:rsidR="00D21DA0">
              <w:rPr>
                <w:rFonts w:ascii="Arial" w:hAnsi="Arial" w:cs="Arial"/>
                <w:color w:val="175E95" w:themeColor="accent1"/>
                <w:kern w:val="24"/>
                <w:sz w:val="20"/>
                <w:szCs w:val="20"/>
              </w:rPr>
              <w:br/>
            </w:r>
            <w:r w:rsidRPr="00B61328">
              <w:rPr>
                <w:rFonts w:ascii="Arial" w:hAnsi="Arial" w:cs="Arial"/>
                <w:color w:val="175E95" w:themeColor="accent1"/>
                <w:kern w:val="24"/>
                <w:sz w:val="20"/>
                <w:szCs w:val="20"/>
              </w:rPr>
              <w:t xml:space="preserve">to start of </w:t>
            </w:r>
            <w:r w:rsidR="007C3EC9">
              <w:rPr>
                <w:rFonts w:ascii="Arial" w:hAnsi="Arial" w:cs="Arial"/>
                <w:color w:val="175E95" w:themeColor="accent1"/>
                <w:kern w:val="24"/>
                <w:sz w:val="20"/>
                <w:szCs w:val="20"/>
              </w:rPr>
              <w:t xml:space="preserve">the </w:t>
            </w:r>
            <w:r w:rsidRPr="00B61328">
              <w:rPr>
                <w:rFonts w:ascii="Arial" w:hAnsi="Arial" w:cs="Arial"/>
                <w:color w:val="175E95" w:themeColor="accent1"/>
                <w:kern w:val="24"/>
                <w:sz w:val="20"/>
                <w:szCs w:val="20"/>
              </w:rPr>
              <w:t xml:space="preserve">recession </w:t>
            </w:r>
          </w:p>
        </w:tc>
        <w:tc>
          <w:tcPr>
            <w:tcW w:w="1887" w:type="dxa"/>
            <w:tcBorders>
              <w:top w:val="single" w:sz="8" w:space="0" w:color="16376A"/>
              <w:left w:val="nil"/>
              <w:bottom w:val="single" w:sz="8" w:space="0" w:color="16376A"/>
              <w:right w:val="nil"/>
            </w:tcBorders>
            <w:shd w:val="clear" w:color="auto" w:fill="F3F5F7"/>
            <w:tcMar>
              <w:top w:w="15" w:type="dxa"/>
              <w:left w:w="15" w:type="dxa"/>
              <w:bottom w:w="0" w:type="dxa"/>
              <w:right w:w="15" w:type="dxa"/>
            </w:tcMar>
            <w:vAlign w:val="center"/>
            <w:hideMark/>
          </w:tcPr>
          <w:p w14:paraId="3851E33B" w14:textId="72DCBDAF" w:rsidR="00B61328" w:rsidRPr="00B61328" w:rsidRDefault="00B61328" w:rsidP="000E1255">
            <w:pPr>
              <w:spacing w:after="0" w:line="240" w:lineRule="auto"/>
              <w:jc w:val="center"/>
              <w:rPr>
                <w:rFonts w:ascii="Arial" w:hAnsi="Arial" w:cs="Arial"/>
                <w:color w:val="175E95" w:themeColor="accent1"/>
                <w:sz w:val="20"/>
                <w:szCs w:val="20"/>
              </w:rPr>
            </w:pPr>
            <w:r w:rsidRPr="00B61328">
              <w:rPr>
                <w:rFonts w:ascii="Arial" w:hAnsi="Arial" w:cs="Arial"/>
                <w:color w:val="175E95" w:themeColor="accent1"/>
                <w:kern w:val="24"/>
                <w:sz w:val="20"/>
                <w:szCs w:val="20"/>
              </w:rPr>
              <w:t xml:space="preserve">S&amp;P 500 bottom before </w:t>
            </w:r>
            <w:r w:rsidR="007C3EC9">
              <w:rPr>
                <w:rFonts w:ascii="Arial" w:hAnsi="Arial" w:cs="Arial"/>
                <w:color w:val="175E95" w:themeColor="accent1"/>
                <w:kern w:val="24"/>
                <w:sz w:val="20"/>
                <w:szCs w:val="20"/>
              </w:rPr>
              <w:t xml:space="preserve">the </w:t>
            </w:r>
            <w:r w:rsidRPr="00B61328">
              <w:rPr>
                <w:rFonts w:ascii="Arial" w:hAnsi="Arial" w:cs="Arial"/>
                <w:color w:val="175E95" w:themeColor="accent1"/>
                <w:kern w:val="24"/>
                <w:sz w:val="20"/>
                <w:szCs w:val="20"/>
              </w:rPr>
              <w:t xml:space="preserve">end of </w:t>
            </w:r>
            <w:r w:rsidR="007C3EC9">
              <w:rPr>
                <w:rFonts w:ascii="Arial" w:hAnsi="Arial" w:cs="Arial"/>
                <w:color w:val="175E95" w:themeColor="accent1"/>
                <w:kern w:val="24"/>
                <w:sz w:val="20"/>
                <w:szCs w:val="20"/>
              </w:rPr>
              <w:t xml:space="preserve">the </w:t>
            </w:r>
            <w:r w:rsidRPr="00B61328">
              <w:rPr>
                <w:rFonts w:ascii="Arial" w:hAnsi="Arial" w:cs="Arial"/>
                <w:color w:val="175E95" w:themeColor="accent1"/>
                <w:kern w:val="24"/>
                <w:sz w:val="20"/>
                <w:szCs w:val="20"/>
              </w:rPr>
              <w:t>recession (months)</w:t>
            </w:r>
          </w:p>
        </w:tc>
        <w:tc>
          <w:tcPr>
            <w:tcW w:w="1760" w:type="dxa"/>
            <w:tcBorders>
              <w:top w:val="single" w:sz="8" w:space="0" w:color="16376A"/>
              <w:left w:val="nil"/>
              <w:bottom w:val="single" w:sz="8" w:space="0" w:color="16376A"/>
              <w:right w:val="nil"/>
            </w:tcBorders>
            <w:shd w:val="clear" w:color="auto" w:fill="F3F5F7"/>
            <w:tcMar>
              <w:top w:w="15" w:type="dxa"/>
              <w:left w:w="15" w:type="dxa"/>
              <w:bottom w:w="0" w:type="dxa"/>
              <w:right w:w="15" w:type="dxa"/>
            </w:tcMar>
            <w:vAlign w:val="center"/>
            <w:hideMark/>
          </w:tcPr>
          <w:p w14:paraId="38871DDC" w14:textId="130A8F3D" w:rsidR="00B61328" w:rsidRPr="00B61328" w:rsidRDefault="00B61328" w:rsidP="000E1255">
            <w:pPr>
              <w:spacing w:after="0" w:line="240" w:lineRule="auto"/>
              <w:jc w:val="center"/>
              <w:rPr>
                <w:rFonts w:ascii="Arial" w:hAnsi="Arial" w:cs="Arial"/>
                <w:color w:val="175E95" w:themeColor="accent1"/>
                <w:sz w:val="20"/>
                <w:szCs w:val="20"/>
              </w:rPr>
            </w:pPr>
            <w:r w:rsidRPr="00B61328">
              <w:rPr>
                <w:rFonts w:ascii="Arial" w:hAnsi="Arial" w:cs="Arial"/>
                <w:color w:val="175E95" w:themeColor="accent1"/>
                <w:kern w:val="24"/>
                <w:sz w:val="20"/>
                <w:szCs w:val="20"/>
              </w:rPr>
              <w:t xml:space="preserve">Return from </w:t>
            </w:r>
            <w:r w:rsidR="007C3EC9">
              <w:rPr>
                <w:rFonts w:ascii="Arial" w:hAnsi="Arial" w:cs="Arial"/>
                <w:color w:val="175E95" w:themeColor="accent1"/>
                <w:kern w:val="24"/>
                <w:sz w:val="20"/>
                <w:szCs w:val="20"/>
              </w:rPr>
              <w:t>base</w:t>
            </w:r>
            <w:r w:rsidRPr="00B61328">
              <w:rPr>
                <w:rFonts w:ascii="Arial" w:hAnsi="Arial" w:cs="Arial"/>
                <w:color w:val="175E95" w:themeColor="accent1"/>
                <w:kern w:val="24"/>
                <w:sz w:val="20"/>
                <w:szCs w:val="20"/>
              </w:rPr>
              <w:t xml:space="preserve"> to end of </w:t>
            </w:r>
            <w:r w:rsidR="009303F8">
              <w:rPr>
                <w:rFonts w:ascii="Arial" w:hAnsi="Arial" w:cs="Arial"/>
                <w:color w:val="175E95" w:themeColor="accent1"/>
                <w:kern w:val="24"/>
                <w:sz w:val="20"/>
                <w:szCs w:val="20"/>
              </w:rPr>
              <w:t>the rece</w:t>
            </w:r>
            <w:r w:rsidRPr="00B61328">
              <w:rPr>
                <w:rFonts w:ascii="Arial" w:hAnsi="Arial" w:cs="Arial"/>
                <w:color w:val="175E95" w:themeColor="accent1"/>
                <w:kern w:val="24"/>
                <w:sz w:val="20"/>
                <w:szCs w:val="20"/>
              </w:rPr>
              <w:t>ssion</w:t>
            </w:r>
          </w:p>
        </w:tc>
      </w:tr>
      <w:tr w:rsidR="00B61328" w:rsidRPr="00BE5FA7" w14:paraId="44EB628D" w14:textId="77777777" w:rsidTr="00ED23F0">
        <w:trPr>
          <w:trHeight w:val="207"/>
        </w:trPr>
        <w:tc>
          <w:tcPr>
            <w:tcW w:w="1286" w:type="dxa"/>
            <w:tcBorders>
              <w:top w:val="single" w:sz="8" w:space="0" w:color="16376A"/>
              <w:left w:val="nil"/>
              <w:bottom w:val="single" w:sz="8" w:space="0" w:color="F3F5F7"/>
              <w:right w:val="nil"/>
            </w:tcBorders>
            <w:shd w:val="clear" w:color="auto" w:fill="FFFFFF"/>
            <w:tcMar>
              <w:top w:w="8" w:type="dxa"/>
              <w:left w:w="8" w:type="dxa"/>
              <w:bottom w:w="0" w:type="dxa"/>
              <w:right w:w="8" w:type="dxa"/>
            </w:tcMar>
            <w:vAlign w:val="center"/>
            <w:hideMark/>
          </w:tcPr>
          <w:p w14:paraId="0AAD5B09"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7/1/1953</w:t>
            </w:r>
          </w:p>
        </w:tc>
        <w:tc>
          <w:tcPr>
            <w:tcW w:w="1373" w:type="dxa"/>
            <w:tcBorders>
              <w:top w:val="single" w:sz="8" w:space="0" w:color="16376A"/>
              <w:left w:val="nil"/>
              <w:bottom w:val="single" w:sz="8" w:space="0" w:color="F3F5F7"/>
              <w:right w:val="nil"/>
            </w:tcBorders>
            <w:shd w:val="clear" w:color="auto" w:fill="FFFFFF"/>
            <w:tcMar>
              <w:top w:w="8" w:type="dxa"/>
              <w:left w:w="8" w:type="dxa"/>
              <w:bottom w:w="0" w:type="dxa"/>
              <w:right w:w="8" w:type="dxa"/>
            </w:tcMar>
            <w:vAlign w:val="center"/>
            <w:hideMark/>
          </w:tcPr>
          <w:p w14:paraId="378A28C9"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5/1/1954</w:t>
            </w:r>
          </w:p>
        </w:tc>
        <w:tc>
          <w:tcPr>
            <w:tcW w:w="1887" w:type="dxa"/>
            <w:tcBorders>
              <w:top w:val="single" w:sz="8" w:space="0" w:color="16376A"/>
              <w:left w:val="nil"/>
              <w:bottom w:val="single" w:sz="8" w:space="0" w:color="F3F5F7"/>
              <w:right w:val="nil"/>
            </w:tcBorders>
            <w:shd w:val="clear" w:color="auto" w:fill="FFFFFF"/>
            <w:tcMar>
              <w:top w:w="8" w:type="dxa"/>
              <w:left w:w="8" w:type="dxa"/>
              <w:bottom w:w="0" w:type="dxa"/>
              <w:right w:w="8" w:type="dxa"/>
            </w:tcMar>
            <w:vAlign w:val="center"/>
            <w:hideMark/>
          </w:tcPr>
          <w:p w14:paraId="4A4B698E"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6</w:t>
            </w:r>
          </w:p>
        </w:tc>
        <w:tc>
          <w:tcPr>
            <w:tcW w:w="1887" w:type="dxa"/>
            <w:tcBorders>
              <w:top w:val="single" w:sz="8" w:space="0" w:color="16376A"/>
              <w:left w:val="nil"/>
              <w:bottom w:val="single" w:sz="8" w:space="0" w:color="F3F5F7"/>
              <w:right w:val="nil"/>
            </w:tcBorders>
            <w:shd w:val="clear" w:color="auto" w:fill="FFFFFF"/>
            <w:tcMar>
              <w:top w:w="8" w:type="dxa"/>
              <w:left w:w="8" w:type="dxa"/>
              <w:bottom w:w="0" w:type="dxa"/>
              <w:right w:w="8" w:type="dxa"/>
            </w:tcMar>
            <w:vAlign w:val="center"/>
            <w:hideMark/>
          </w:tcPr>
          <w:p w14:paraId="4A1D51D0"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-8.8%</w:t>
            </w:r>
          </w:p>
        </w:tc>
        <w:tc>
          <w:tcPr>
            <w:tcW w:w="1887" w:type="dxa"/>
            <w:tcBorders>
              <w:top w:val="single" w:sz="8" w:space="0" w:color="16376A"/>
              <w:left w:val="nil"/>
              <w:bottom w:val="single" w:sz="8" w:space="0" w:color="F3F5F7"/>
              <w:right w:val="nil"/>
            </w:tcBorders>
            <w:shd w:val="clear" w:color="auto" w:fill="FFFFFF"/>
            <w:tcMar>
              <w:top w:w="8" w:type="dxa"/>
              <w:left w:w="8" w:type="dxa"/>
              <w:bottom w:w="0" w:type="dxa"/>
              <w:right w:w="8" w:type="dxa"/>
            </w:tcMar>
            <w:vAlign w:val="center"/>
            <w:hideMark/>
          </w:tcPr>
          <w:p w14:paraId="61D8819C"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8</w:t>
            </w:r>
          </w:p>
        </w:tc>
        <w:tc>
          <w:tcPr>
            <w:tcW w:w="1760" w:type="dxa"/>
            <w:tcBorders>
              <w:top w:val="single" w:sz="8" w:space="0" w:color="16376A"/>
              <w:left w:val="nil"/>
              <w:bottom w:val="single" w:sz="8" w:space="0" w:color="F3F5F7"/>
              <w:right w:val="nil"/>
            </w:tcBorders>
            <w:shd w:val="clear" w:color="auto" w:fill="FFFFFF"/>
            <w:tcMar>
              <w:top w:w="8" w:type="dxa"/>
              <w:left w:w="8" w:type="dxa"/>
              <w:bottom w:w="0" w:type="dxa"/>
              <w:right w:w="8" w:type="dxa"/>
            </w:tcMar>
            <w:vAlign w:val="center"/>
            <w:hideMark/>
          </w:tcPr>
          <w:p w14:paraId="49F130D6"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20.7%</w:t>
            </w:r>
          </w:p>
        </w:tc>
      </w:tr>
      <w:tr w:rsidR="00B61328" w:rsidRPr="00BE5FA7" w14:paraId="4D2479E9"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153088C7"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8/1/1957</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1FBEDB3"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4/1/1958</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8DA905E"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12</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3E143AA"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-3.3%</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3ED8F3F"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2B9D5076"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4.9%</w:t>
            </w:r>
          </w:p>
        </w:tc>
      </w:tr>
      <w:tr w:rsidR="00B61328" w:rsidRPr="00BE5FA7" w14:paraId="4E65EFDC"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B65BE95"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4/1/1960</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594D12EC"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2/1/1961</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7CDBDBCB"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8</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198C08D0"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-8.4%</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2C3AD607"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4</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8318270"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15.7%</w:t>
            </w:r>
          </w:p>
        </w:tc>
      </w:tr>
      <w:tr w:rsidR="00B61328" w:rsidRPr="00BE5FA7" w14:paraId="3FA533A4"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7AF9759"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12/1/1969</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64E15A9"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11/1/1970</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5CA1D68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12</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47B0B71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-14.0%</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16DAFD8"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4</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47FFE947"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14.0%</w:t>
            </w:r>
          </w:p>
        </w:tc>
      </w:tr>
      <w:tr w:rsidR="00B61328" w:rsidRPr="00BE5FA7" w14:paraId="188354C0"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FBAF52B"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11/1/1973</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25C3D41"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3/1/1975</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27A696CB"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10</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CF3BBB8"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-8.8%</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D7567BE"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5</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4C19E56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28.7%</w:t>
            </w:r>
          </w:p>
        </w:tc>
      </w:tr>
      <w:tr w:rsidR="00B61328" w:rsidRPr="00BE5FA7" w14:paraId="0F4AF4EA"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1570E8A"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1/1/1980</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3D56DDF"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7/1/1980</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2DE4BE29"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B5FE812"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-0.6%</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956C56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0</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40E0E8AC"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0.0%</w:t>
            </w:r>
          </w:p>
        </w:tc>
      </w:tr>
      <w:tr w:rsidR="00B61328" w:rsidRPr="00BE5FA7" w14:paraId="6F90544B"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49A27419"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7/1/1981</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784CBAAC"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11/1/1982</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2A23F4A"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7</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1562B574"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-5.4%</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6D7E621"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23A4424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26.5%</w:t>
            </w:r>
          </w:p>
        </w:tc>
      </w:tr>
      <w:tr w:rsidR="00B61328" w:rsidRPr="00BE5FA7" w14:paraId="515A8924"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EFEB6A9"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7/1/1990</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5CB23D25"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3/1/1991</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CE0A6C8"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116B278B"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-1.4%</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56D8ADA7"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4</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518AB54F"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20.7%</w:t>
            </w:r>
          </w:p>
        </w:tc>
      </w:tr>
      <w:tr w:rsidR="00B61328" w:rsidRPr="00BE5FA7" w14:paraId="2AB1BA60"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194C0412"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3/1/2001</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1444DFCA"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11/1/2001</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3149F32B"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6</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7D028798"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-18.4%</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518BD4A"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-16</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122AF75"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-22.4%</w:t>
            </w:r>
          </w:p>
        </w:tc>
      </w:tr>
      <w:tr w:rsidR="00B61328" w:rsidRPr="00BE5FA7" w14:paraId="37FCB52B" w14:textId="77777777" w:rsidTr="00ED23F0">
        <w:trPr>
          <w:trHeight w:val="207"/>
        </w:trPr>
        <w:tc>
          <w:tcPr>
            <w:tcW w:w="1286"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7F47C86B"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12/1/2007</w:t>
            </w:r>
          </w:p>
        </w:tc>
        <w:tc>
          <w:tcPr>
            <w:tcW w:w="1373"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7FE0AA83"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6/1/2009</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8FA72E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6</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6B17DA5E"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-3.6%</w:t>
            </w:r>
          </w:p>
        </w:tc>
        <w:tc>
          <w:tcPr>
            <w:tcW w:w="1887"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0D21340C"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w:t>
            </w:r>
          </w:p>
        </w:tc>
        <w:tc>
          <w:tcPr>
            <w:tcW w:w="1760" w:type="dxa"/>
            <w:tcBorders>
              <w:top w:val="single" w:sz="8" w:space="0" w:color="F3F5F7"/>
              <w:left w:val="nil"/>
              <w:bottom w:val="single" w:sz="8" w:space="0" w:color="F3F5F7"/>
              <w:right w:val="nil"/>
            </w:tcBorders>
            <w:shd w:val="clear" w:color="auto" w:fill="FFFFFF"/>
            <w:tcMar>
              <w:top w:w="8" w:type="dxa"/>
              <w:left w:w="8" w:type="dxa"/>
              <w:bottom w:w="0" w:type="dxa"/>
              <w:right w:w="8" w:type="dxa"/>
            </w:tcMar>
            <w:vAlign w:val="center"/>
            <w:hideMark/>
          </w:tcPr>
          <w:p w14:paraId="4DD6796A"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28.3%</w:t>
            </w:r>
          </w:p>
        </w:tc>
      </w:tr>
      <w:tr w:rsidR="00B61328" w:rsidRPr="00BE5FA7" w14:paraId="4E04BACA" w14:textId="77777777" w:rsidTr="00ED23F0">
        <w:trPr>
          <w:trHeight w:val="207"/>
        </w:trPr>
        <w:tc>
          <w:tcPr>
            <w:tcW w:w="1286" w:type="dxa"/>
            <w:tcBorders>
              <w:top w:val="single" w:sz="8" w:space="0" w:color="F3F5F7"/>
              <w:left w:val="nil"/>
              <w:bottom w:val="single" w:sz="8" w:space="0" w:color="16376A"/>
              <w:right w:val="nil"/>
            </w:tcBorders>
            <w:shd w:val="clear" w:color="auto" w:fill="FFFFFF"/>
            <w:tcMar>
              <w:top w:w="8" w:type="dxa"/>
              <w:left w:w="8" w:type="dxa"/>
              <w:bottom w:w="0" w:type="dxa"/>
              <w:right w:w="8" w:type="dxa"/>
            </w:tcMar>
            <w:vAlign w:val="center"/>
            <w:hideMark/>
          </w:tcPr>
          <w:p w14:paraId="74BF0E68"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2/1/2020</w:t>
            </w:r>
          </w:p>
        </w:tc>
        <w:tc>
          <w:tcPr>
            <w:tcW w:w="1373" w:type="dxa"/>
            <w:tcBorders>
              <w:top w:val="single" w:sz="8" w:space="0" w:color="F3F5F7"/>
              <w:left w:val="nil"/>
              <w:bottom w:val="single" w:sz="8" w:space="0" w:color="16376A"/>
              <w:right w:val="nil"/>
            </w:tcBorders>
            <w:shd w:val="clear" w:color="auto" w:fill="FFFFFF"/>
            <w:tcMar>
              <w:top w:w="8" w:type="dxa"/>
              <w:left w:w="8" w:type="dxa"/>
              <w:bottom w:w="0" w:type="dxa"/>
              <w:right w:w="8" w:type="dxa"/>
            </w:tcMar>
            <w:vAlign w:val="center"/>
            <w:hideMark/>
          </w:tcPr>
          <w:p w14:paraId="6098992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4/1/2020</w:t>
            </w:r>
          </w:p>
        </w:tc>
        <w:tc>
          <w:tcPr>
            <w:tcW w:w="1887" w:type="dxa"/>
            <w:tcBorders>
              <w:top w:val="single" w:sz="8" w:space="0" w:color="F3F5F7"/>
              <w:left w:val="nil"/>
              <w:bottom w:val="single" w:sz="8" w:space="0" w:color="16376A"/>
              <w:right w:val="nil"/>
            </w:tcBorders>
            <w:shd w:val="clear" w:color="auto" w:fill="FFFFFF"/>
            <w:tcMar>
              <w:top w:w="8" w:type="dxa"/>
              <w:left w:w="8" w:type="dxa"/>
              <w:bottom w:w="0" w:type="dxa"/>
              <w:right w:w="8" w:type="dxa"/>
            </w:tcMar>
            <w:vAlign w:val="center"/>
            <w:hideMark/>
          </w:tcPr>
          <w:p w14:paraId="593934AE"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w:t>
            </w:r>
          </w:p>
        </w:tc>
        <w:tc>
          <w:tcPr>
            <w:tcW w:w="1887" w:type="dxa"/>
            <w:tcBorders>
              <w:top w:val="single" w:sz="8" w:space="0" w:color="F3F5F7"/>
              <w:left w:val="nil"/>
              <w:bottom w:val="single" w:sz="8" w:space="0" w:color="16376A"/>
              <w:right w:val="nil"/>
            </w:tcBorders>
            <w:shd w:val="clear" w:color="auto" w:fill="FFFFFF"/>
            <w:tcMar>
              <w:top w:w="8" w:type="dxa"/>
              <w:left w:w="8" w:type="dxa"/>
              <w:bottom w:w="0" w:type="dxa"/>
              <w:right w:w="8" w:type="dxa"/>
            </w:tcMar>
            <w:vAlign w:val="center"/>
            <w:hideMark/>
          </w:tcPr>
          <w:p w14:paraId="02A6CF2E"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-0.2%</w:t>
            </w:r>
          </w:p>
        </w:tc>
        <w:tc>
          <w:tcPr>
            <w:tcW w:w="1887" w:type="dxa"/>
            <w:tcBorders>
              <w:top w:val="single" w:sz="8" w:space="0" w:color="F3F5F7"/>
              <w:left w:val="nil"/>
              <w:bottom w:val="single" w:sz="8" w:space="0" w:color="16376A"/>
              <w:right w:val="nil"/>
            </w:tcBorders>
            <w:shd w:val="clear" w:color="auto" w:fill="FFFFFF"/>
            <w:tcMar>
              <w:top w:w="8" w:type="dxa"/>
              <w:left w:w="8" w:type="dxa"/>
              <w:bottom w:w="0" w:type="dxa"/>
              <w:right w:w="8" w:type="dxa"/>
            </w:tcMar>
            <w:vAlign w:val="center"/>
            <w:hideMark/>
          </w:tcPr>
          <w:p w14:paraId="5466D4A0"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0</w:t>
            </w:r>
          </w:p>
        </w:tc>
        <w:tc>
          <w:tcPr>
            <w:tcW w:w="1760" w:type="dxa"/>
            <w:tcBorders>
              <w:top w:val="single" w:sz="8" w:space="0" w:color="F3F5F7"/>
              <w:left w:val="nil"/>
              <w:bottom w:val="single" w:sz="8" w:space="0" w:color="16376A"/>
              <w:right w:val="nil"/>
            </w:tcBorders>
            <w:shd w:val="clear" w:color="auto" w:fill="FFFFFF"/>
            <w:tcMar>
              <w:top w:w="8" w:type="dxa"/>
              <w:left w:w="8" w:type="dxa"/>
              <w:bottom w:w="0" w:type="dxa"/>
              <w:right w:w="8" w:type="dxa"/>
            </w:tcMar>
            <w:vAlign w:val="center"/>
            <w:hideMark/>
          </w:tcPr>
          <w:p w14:paraId="07F7F1D2"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0.0%</w:t>
            </w:r>
          </w:p>
        </w:tc>
      </w:tr>
      <w:tr w:rsidR="00B61328" w:rsidRPr="00BE5FA7" w14:paraId="496C978E" w14:textId="77777777" w:rsidTr="00ED23F0">
        <w:trPr>
          <w:trHeight w:val="207"/>
        </w:trPr>
        <w:tc>
          <w:tcPr>
            <w:tcW w:w="2659" w:type="dxa"/>
            <w:gridSpan w:val="2"/>
            <w:tcBorders>
              <w:top w:val="single" w:sz="8" w:space="0" w:color="16376A"/>
              <w:left w:val="nil"/>
              <w:bottom w:val="single" w:sz="8" w:space="0" w:color="16376A"/>
              <w:right w:val="nil"/>
            </w:tcBorders>
            <w:shd w:val="clear" w:color="auto" w:fill="F3F5F7"/>
            <w:tcMar>
              <w:top w:w="8" w:type="dxa"/>
              <w:left w:w="8" w:type="dxa"/>
              <w:bottom w:w="0" w:type="dxa"/>
              <w:right w:w="8" w:type="dxa"/>
            </w:tcMar>
            <w:vAlign w:val="center"/>
            <w:hideMark/>
          </w:tcPr>
          <w:p w14:paraId="267EA563" w14:textId="18929535" w:rsidR="00B61328" w:rsidRPr="00BE5FA7" w:rsidRDefault="00B61328" w:rsidP="000E1255">
            <w:pPr>
              <w:spacing w:after="0" w:line="240" w:lineRule="auto"/>
              <w:textAlignment w:val="bottom"/>
              <w:rPr>
                <w:rFonts w:ascii="Arial" w:hAnsi="Arial" w:cs="Arial"/>
                <w:sz w:val="20"/>
                <w:szCs w:val="20"/>
              </w:rPr>
            </w:pPr>
            <w:r>
              <w:rPr>
                <w:rFonts w:ascii="Arial" w:hAnsi="Arial" w:cs="Arial"/>
                <w:color w:val="595959"/>
                <w:kern w:val="24"/>
                <w:sz w:val="20"/>
                <w:szCs w:val="20"/>
              </w:rPr>
              <w:t xml:space="preserve">     </w:t>
            </w:r>
            <w:r w:rsidRPr="00BE5FA7">
              <w:rPr>
                <w:rFonts w:ascii="Arial" w:hAnsi="Arial" w:cs="Arial"/>
                <w:color w:val="595959"/>
                <w:kern w:val="24"/>
                <w:sz w:val="20"/>
                <w:szCs w:val="20"/>
              </w:rPr>
              <w:t>Average</w:t>
            </w:r>
          </w:p>
        </w:tc>
        <w:tc>
          <w:tcPr>
            <w:tcW w:w="1887" w:type="dxa"/>
            <w:tcBorders>
              <w:top w:val="single" w:sz="8" w:space="0" w:color="16376A"/>
              <w:left w:val="nil"/>
              <w:bottom w:val="single" w:sz="8" w:space="0" w:color="16376A"/>
              <w:right w:val="nil"/>
            </w:tcBorders>
            <w:shd w:val="clear" w:color="auto" w:fill="F3F5F7"/>
            <w:tcMar>
              <w:top w:w="8" w:type="dxa"/>
              <w:left w:w="8" w:type="dxa"/>
              <w:bottom w:w="0" w:type="dxa"/>
              <w:right w:w="8" w:type="dxa"/>
            </w:tcMar>
            <w:vAlign w:val="center"/>
            <w:hideMark/>
          </w:tcPr>
          <w:p w14:paraId="639B7DCF"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6</w:t>
            </w:r>
          </w:p>
        </w:tc>
        <w:tc>
          <w:tcPr>
            <w:tcW w:w="1887" w:type="dxa"/>
            <w:tcBorders>
              <w:top w:val="single" w:sz="8" w:space="0" w:color="16376A"/>
              <w:left w:val="nil"/>
              <w:bottom w:val="single" w:sz="8" w:space="0" w:color="16376A"/>
              <w:right w:val="nil"/>
            </w:tcBorders>
            <w:shd w:val="clear" w:color="auto" w:fill="F3F5F7"/>
            <w:tcMar>
              <w:top w:w="8" w:type="dxa"/>
              <w:left w:w="8" w:type="dxa"/>
              <w:bottom w:w="0" w:type="dxa"/>
              <w:right w:w="8" w:type="dxa"/>
            </w:tcMar>
            <w:vAlign w:val="center"/>
            <w:hideMark/>
          </w:tcPr>
          <w:p w14:paraId="5F366CE7"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-6.6%</w:t>
            </w:r>
          </w:p>
        </w:tc>
        <w:tc>
          <w:tcPr>
            <w:tcW w:w="1887" w:type="dxa"/>
            <w:tcBorders>
              <w:top w:val="single" w:sz="8" w:space="0" w:color="16376A"/>
              <w:left w:val="nil"/>
              <w:bottom w:val="single" w:sz="8" w:space="0" w:color="16376A"/>
              <w:right w:val="nil"/>
            </w:tcBorders>
            <w:shd w:val="clear" w:color="auto" w:fill="F3F5F7"/>
            <w:tcMar>
              <w:top w:w="8" w:type="dxa"/>
              <w:left w:w="8" w:type="dxa"/>
              <w:bottom w:w="0" w:type="dxa"/>
              <w:right w:w="8" w:type="dxa"/>
            </w:tcMar>
            <w:vAlign w:val="center"/>
            <w:hideMark/>
          </w:tcPr>
          <w:p w14:paraId="45FCB9AD"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3</w:t>
            </w:r>
          </w:p>
        </w:tc>
        <w:tc>
          <w:tcPr>
            <w:tcW w:w="1760" w:type="dxa"/>
            <w:tcBorders>
              <w:top w:val="single" w:sz="8" w:space="0" w:color="16376A"/>
              <w:left w:val="nil"/>
              <w:bottom w:val="single" w:sz="8" w:space="0" w:color="16376A"/>
              <w:right w:val="nil"/>
            </w:tcBorders>
            <w:shd w:val="clear" w:color="auto" w:fill="F3F5F7"/>
            <w:tcMar>
              <w:top w:w="8" w:type="dxa"/>
              <w:left w:w="8" w:type="dxa"/>
              <w:bottom w:w="0" w:type="dxa"/>
              <w:right w:w="8" w:type="dxa"/>
            </w:tcMar>
            <w:vAlign w:val="center"/>
            <w:hideMark/>
          </w:tcPr>
          <w:p w14:paraId="0B6C00EF" w14:textId="77777777" w:rsidR="00B61328" w:rsidRPr="00BE5FA7" w:rsidRDefault="00B61328" w:rsidP="000E1255">
            <w:pPr>
              <w:spacing w:after="0" w:line="240" w:lineRule="auto"/>
              <w:jc w:val="center"/>
              <w:textAlignment w:val="bottom"/>
              <w:rPr>
                <w:rFonts w:ascii="Arial" w:hAnsi="Arial" w:cs="Arial"/>
                <w:sz w:val="20"/>
                <w:szCs w:val="20"/>
              </w:rPr>
            </w:pPr>
            <w:r w:rsidRPr="00BE5FA7">
              <w:rPr>
                <w:rFonts w:ascii="Arial" w:hAnsi="Arial" w:cs="Arial"/>
                <w:color w:val="595959"/>
                <w:kern w:val="24"/>
                <w:sz w:val="20"/>
                <w:szCs w:val="20"/>
              </w:rPr>
              <w:t>12.4%</w:t>
            </w:r>
          </w:p>
        </w:tc>
      </w:tr>
    </w:tbl>
    <w:p w14:paraId="20FFB750" w14:textId="324590BF" w:rsidR="00B61328" w:rsidRDefault="009303F8" w:rsidP="00B61328">
      <w:pPr>
        <w:spacing w:before="80" w:after="0"/>
        <w:ind w:left="-720" w:right="-720"/>
        <w:rPr>
          <w:rFonts w:ascii="Arial" w:hAnsi="Arial" w:cs="Arial"/>
          <w:sz w:val="20"/>
          <w:szCs w:val="20"/>
        </w:rPr>
      </w:pPr>
      <w:r>
        <w:rPr>
          <w:rFonts w:ascii="Arial" w:hAnsi="Arial" w:cs="Arial"/>
          <w:color w:val="666666" w:themeColor="background2" w:themeShade="80"/>
          <w:sz w:val="16"/>
          <w:szCs w:val="16"/>
        </w:rPr>
        <w:t xml:space="preserve">              </w:t>
      </w:r>
      <w:r w:rsidR="00B61328" w:rsidRPr="007D770D">
        <w:rPr>
          <w:rFonts w:ascii="Arial" w:hAnsi="Arial" w:cs="Arial"/>
          <w:color w:val="666666" w:themeColor="background2" w:themeShade="80"/>
          <w:sz w:val="16"/>
          <w:szCs w:val="16"/>
        </w:rPr>
        <w:t xml:space="preserve">Source: </w:t>
      </w:r>
      <w:r w:rsidR="00B61328">
        <w:rPr>
          <w:rFonts w:ascii="Arial" w:hAnsi="Arial" w:cs="Arial"/>
          <w:color w:val="666666" w:themeColor="background2" w:themeShade="80"/>
          <w:sz w:val="16"/>
          <w:szCs w:val="16"/>
        </w:rPr>
        <w:t xml:space="preserve">Beaumont Capital Management.  </w:t>
      </w:r>
      <w:bookmarkStart w:id="1" w:name="_Hlk107174779"/>
      <w:r w:rsidR="00B61328">
        <w:rPr>
          <w:rFonts w:ascii="Arial" w:hAnsi="Arial" w:cs="Arial"/>
          <w:color w:val="666666" w:themeColor="background2" w:themeShade="80"/>
          <w:sz w:val="16"/>
          <w:szCs w:val="16"/>
        </w:rPr>
        <w:t>Staying the Course During Turbulent Times. June 2022.</w:t>
      </w:r>
      <w:r w:rsidR="00B61328" w:rsidRPr="00FB2BA1">
        <w:rPr>
          <w:rFonts w:ascii="Arial" w:hAnsi="Arial" w:cs="Arial"/>
          <w:sz w:val="20"/>
          <w:szCs w:val="20"/>
        </w:rPr>
        <w:tab/>
      </w:r>
      <w:bookmarkEnd w:id="1"/>
      <w:r w:rsidR="00B61328" w:rsidRPr="00FB2BA1">
        <w:rPr>
          <w:rFonts w:ascii="Arial" w:hAnsi="Arial" w:cs="Arial"/>
          <w:sz w:val="20"/>
          <w:szCs w:val="20"/>
        </w:rPr>
        <w:tab/>
      </w:r>
      <w:bookmarkEnd w:id="0"/>
    </w:p>
    <w:p w14:paraId="457A449A" w14:textId="77777777" w:rsidR="00ED23F0" w:rsidRDefault="00ED23F0" w:rsidP="00B61328">
      <w:pPr>
        <w:spacing w:before="80" w:after="0"/>
        <w:ind w:left="-720" w:right="-720"/>
        <w:rPr>
          <w:rFonts w:ascii="Arial" w:hAnsi="Arial" w:cs="Arial"/>
          <w:b/>
          <w:bCs/>
          <w:color w:val="175E95" w:themeColor="accent1"/>
          <w:sz w:val="20"/>
          <w:szCs w:val="20"/>
        </w:rPr>
      </w:pPr>
      <w:r>
        <w:rPr>
          <w:rFonts w:ascii="Arial" w:hAnsi="Arial" w:cs="Arial"/>
          <w:b/>
          <w:bCs/>
          <w:color w:val="175E95" w:themeColor="accent1"/>
          <w:sz w:val="20"/>
          <w:szCs w:val="20"/>
        </w:rPr>
        <w:br w:type="page"/>
      </w:r>
    </w:p>
    <w:p w14:paraId="680AB6F0" w14:textId="5D8B564A" w:rsidR="000A1EA2" w:rsidRPr="00696A84" w:rsidRDefault="000A1EA2" w:rsidP="00B61328">
      <w:pPr>
        <w:spacing w:before="80" w:after="0"/>
        <w:ind w:left="-720" w:right="-720"/>
        <w:rPr>
          <w:rFonts w:ascii="Arial" w:hAnsi="Arial" w:cs="Arial"/>
        </w:rPr>
      </w:pPr>
      <w:r w:rsidRPr="00696A84">
        <w:rPr>
          <w:rFonts w:ascii="Arial" w:hAnsi="Arial" w:cs="Arial"/>
          <w:b/>
          <w:bCs/>
          <w:color w:val="175E95" w:themeColor="accent1"/>
        </w:rPr>
        <w:lastRenderedPageBreak/>
        <w:t>Conclusion</w:t>
      </w:r>
    </w:p>
    <w:p w14:paraId="686C8C10" w14:textId="0ABCA9E5" w:rsidR="008078E3" w:rsidRDefault="009303F8" w:rsidP="000A1EA2">
      <w:pPr>
        <w:ind w:left="-720"/>
        <w:rPr>
          <w:rFonts w:ascii="Arial" w:hAnsi="Arial" w:cs="Arial"/>
          <w:sz w:val="20"/>
          <w:szCs w:val="20"/>
        </w:rPr>
      </w:pPr>
      <w:r>
        <w:rPr>
          <w:rFonts w:ascii="Arial" w:hAnsi="Arial" w:cs="Arial"/>
          <w:sz w:val="20"/>
          <w:szCs w:val="20"/>
        </w:rPr>
        <w:t>In conclusion, the economy is not the stock market even though the two are linked over time. As a reminder, the stock market reflects future expectations for the economy, so stocks can move up during a recession or down when the economy is expanding. No one knows with precision when the start and end of the next recession will be, but we do know that both recessions and bear markets don’t last forever</w:t>
      </w:r>
      <w:r w:rsidR="000A1EA2" w:rsidRPr="000A1EA2">
        <w:rPr>
          <w:rFonts w:ascii="Arial" w:hAnsi="Arial" w:cs="Arial"/>
          <w:sz w:val="20"/>
          <w:szCs w:val="20"/>
        </w:rPr>
        <w:t>.</w:t>
      </w:r>
    </w:p>
    <w:p w14:paraId="4593E988" w14:textId="37213B7F" w:rsidR="00D8372D" w:rsidRPr="000A1EA2" w:rsidRDefault="001D135A" w:rsidP="008078E3">
      <w:pPr>
        <w:spacing w:after="0"/>
        <w:ind w:left="-720"/>
        <w:rPr>
          <w:rFonts w:ascii="Arial" w:hAnsi="Arial" w:cs="Arial"/>
          <w:b/>
          <w:bCs/>
          <w:color w:val="666666" w:themeColor="background2" w:themeShade="80"/>
        </w:rPr>
      </w:pPr>
      <w:r w:rsidRPr="00B376AC">
        <w:rPr>
          <w:rFonts w:ascii="Arial" w:hAnsi="Arial" w:cs="Arial"/>
          <w:noProof/>
          <w:color w:val="343433"/>
          <w:sz w:val="16"/>
          <w:szCs w:val="16"/>
        </w:rPr>
        <mc:AlternateContent>
          <mc:Choice Requires="wps">
            <w:drawing>
              <wp:anchor distT="0" distB="0" distL="114300" distR="114300" simplePos="0" relativeHeight="251694080" behindDoc="0" locked="0" layoutInCell="1" allowOverlap="1" wp14:anchorId="6C4FF287" wp14:editId="42ABFF82">
                <wp:simplePos x="0" y="0"/>
                <wp:positionH relativeFrom="column">
                  <wp:posOffset>-608965</wp:posOffset>
                </wp:positionH>
                <wp:positionV relativeFrom="paragraph">
                  <wp:posOffset>1225550</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FF287" id="_x0000_t202" coordsize="21600,21600" o:spt="202" path="m,l,21600r21600,l21600,xe">
                <v:stroke joinstyle="miter"/>
                <v:path gradientshapeok="t" o:connecttype="rect"/>
              </v:shapetype>
              <v:shape id="Text Box 11" o:spid="_x0000_s1026" type="#_x0000_t202" style="position:absolute;left:0;text-align:left;margin-left:-47.95pt;margin-top:96.5pt;width:112.55pt;height:289.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36736" behindDoc="0" locked="0" layoutInCell="1" allowOverlap="1" wp14:anchorId="4D382430" wp14:editId="6848FA72">
                <wp:simplePos x="0" y="0"/>
                <wp:positionH relativeFrom="margin">
                  <wp:posOffset>-923925</wp:posOffset>
                </wp:positionH>
                <wp:positionV relativeFrom="paragraph">
                  <wp:posOffset>1041401</wp:posOffset>
                </wp:positionV>
                <wp:extent cx="7792720" cy="6333490"/>
                <wp:effectExtent l="0" t="0" r="0" b="0"/>
                <wp:wrapNone/>
                <wp:docPr id="8" name="Rectangle 8"/>
                <wp:cNvGraphicFramePr/>
                <a:graphic xmlns:a="http://schemas.openxmlformats.org/drawingml/2006/main">
                  <a:graphicData uri="http://schemas.microsoft.com/office/word/2010/wordprocessingShape">
                    <wps:wsp>
                      <wps:cNvSpPr/>
                      <wps:spPr>
                        <a:xfrm>
                          <a:off x="0" y="0"/>
                          <a:ext cx="7792720" cy="633349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F958" id="Rectangle 8" o:spid="_x0000_s1026" style="position:absolute;margin-left:-72.75pt;margin-top:82pt;width:613.6pt;height:498.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" fillcolor="#f2f2f2" stroked="f" strokeweight="1pt">
                <w10:wrap anchorx="margin"/>
              </v:rect>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67456" behindDoc="0" locked="0" layoutInCell="1" allowOverlap="1" wp14:anchorId="590BCB16" wp14:editId="33ECFE85">
                <wp:simplePos x="0" y="0"/>
                <wp:positionH relativeFrom="column">
                  <wp:posOffset>714375</wp:posOffset>
                </wp:positionH>
                <wp:positionV relativeFrom="paragraph">
                  <wp:posOffset>1174751</wp:posOffset>
                </wp:positionV>
                <wp:extent cx="5682615" cy="6032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682615" cy="6032500"/>
                        </a:xfrm>
                        <a:prstGeom prst="rect">
                          <a:avLst/>
                        </a:prstGeom>
                        <a:noFill/>
                        <a:ln w="6350">
                          <a:noFill/>
                        </a:ln>
                      </wps:spPr>
                      <wps:txbx>
                        <w:txbxContent>
                          <w:p w14:paraId="576BF894" w14:textId="77777777" w:rsidR="00B376AC" w:rsidRPr="00984D85" w:rsidRDefault="00B376AC" w:rsidP="000A1EA2">
                            <w:pPr>
                              <w:spacing w:after="40" w:line="240" w:lineRule="auto"/>
                              <w:rPr>
                                <w:rFonts w:ascii="Arial" w:hAnsi="Arial" w:cs="Arial"/>
                                <w:b/>
                                <w:sz w:val="18"/>
                                <w:szCs w:val="18"/>
                              </w:rPr>
                            </w:pPr>
                            <w:r w:rsidRPr="00984D85">
                              <w:rPr>
                                <w:rFonts w:ascii="Arial" w:hAnsi="Arial" w:cs="Arial"/>
                                <w:b/>
                                <w:sz w:val="18"/>
                                <w:szCs w:val="18"/>
                              </w:rPr>
                              <w:t>IMPORTANT INFORMATION</w:t>
                            </w:r>
                          </w:p>
                          <w:p w14:paraId="61B8C19F"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7E8D120" w14:textId="77777777" w:rsidR="001D135A" w:rsidRPr="00984D85" w:rsidRDefault="001D135A" w:rsidP="001D135A">
                            <w:pPr>
                              <w:spacing w:after="80" w:line="240" w:lineRule="auto"/>
                              <w:rPr>
                                <w:rFonts w:ascii="Arial" w:hAnsi="Arial" w:cs="Arial"/>
                                <w:sz w:val="18"/>
                                <w:szCs w:val="18"/>
                              </w:rPr>
                            </w:pPr>
                          </w:p>
                          <w:p w14:paraId="09AB5C5F" w14:textId="77777777" w:rsidR="001D135A" w:rsidRDefault="001D135A" w:rsidP="001D135A">
                            <w:pPr>
                              <w:spacing w:after="8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E034E47" w14:textId="77777777" w:rsidR="001D135A" w:rsidRPr="00984D85" w:rsidRDefault="001D135A" w:rsidP="001D135A">
                            <w:pPr>
                              <w:spacing w:after="80" w:line="240" w:lineRule="auto"/>
                              <w:rPr>
                                <w:rFonts w:ascii="Arial" w:hAnsi="Arial" w:cs="Arial"/>
                                <w:sz w:val="18"/>
                                <w:szCs w:val="18"/>
                              </w:rPr>
                            </w:pPr>
                          </w:p>
                          <w:p w14:paraId="2FDEC240"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0FCEDD88" w14:textId="77777777" w:rsidR="001D135A" w:rsidRPr="00984D85" w:rsidRDefault="001D135A" w:rsidP="001D135A">
                            <w:pPr>
                              <w:spacing w:after="80" w:line="240" w:lineRule="auto"/>
                              <w:rPr>
                                <w:rFonts w:ascii="Arial" w:hAnsi="Arial" w:cs="Arial"/>
                                <w:sz w:val="18"/>
                                <w:szCs w:val="18"/>
                              </w:rPr>
                            </w:pPr>
                          </w:p>
                          <w:p w14:paraId="0E155A70"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 xml:space="preserve">Please read the Terms of Use posted at www.ewealthmanager.com that govern the use of these materials </w:t>
                            </w:r>
                            <w:proofErr w:type="gramStart"/>
                            <w:r w:rsidRPr="00984D85">
                              <w:rPr>
                                <w:rFonts w:ascii="Arial" w:hAnsi="Arial" w:cs="Arial"/>
                                <w:sz w:val="18"/>
                                <w:szCs w:val="18"/>
                              </w:rPr>
                              <w:t>and also</w:t>
                            </w:r>
                            <w:proofErr w:type="gramEnd"/>
                            <w:r w:rsidRPr="00984D85">
                              <w:rPr>
                                <w:rFonts w:ascii="Arial" w:hAnsi="Arial" w:cs="Arial"/>
                                <w:sz w:val="18"/>
                                <w:szCs w:val="18"/>
                              </w:rPr>
                              <w:t xml:space="preserve"> be advised:</w:t>
                            </w:r>
                          </w:p>
                          <w:p w14:paraId="643B3EB8" w14:textId="77777777" w:rsidR="001D135A" w:rsidRPr="00984D85" w:rsidRDefault="001D135A" w:rsidP="001D135A">
                            <w:pPr>
                              <w:spacing w:after="80" w:line="240" w:lineRule="auto"/>
                              <w:rPr>
                                <w:rFonts w:ascii="Arial" w:hAnsi="Arial" w:cs="Arial"/>
                                <w:sz w:val="18"/>
                                <w:szCs w:val="18"/>
                              </w:rPr>
                            </w:pPr>
                          </w:p>
                          <w:p w14:paraId="4FE21659"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w:t>
                            </w:r>
                          </w:p>
                          <w:p w14:paraId="2F8037B0" w14:textId="77777777" w:rsidR="001D135A" w:rsidRPr="00984D85" w:rsidRDefault="001D135A" w:rsidP="001D135A">
                            <w:pPr>
                              <w:spacing w:after="80" w:line="240" w:lineRule="auto"/>
                              <w:rPr>
                                <w:rFonts w:ascii="Arial" w:hAnsi="Arial" w:cs="Arial"/>
                                <w:sz w:val="18"/>
                                <w:szCs w:val="18"/>
                              </w:rPr>
                            </w:pPr>
                          </w:p>
                          <w:p w14:paraId="64E52F3B"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 xml:space="preserve">You agree not to redistribute the Information to recipients not authorized by AssetMark.  You agree that the Providers </w:t>
                            </w:r>
                            <w:proofErr w:type="gramStart"/>
                            <w:r w:rsidRPr="00984D85">
                              <w:rPr>
                                <w:rFonts w:ascii="Arial" w:hAnsi="Arial" w:cs="Arial"/>
                                <w:sz w:val="18"/>
                                <w:szCs w:val="18"/>
                              </w:rPr>
                              <w:t>are considered to be</w:t>
                            </w:r>
                            <w:proofErr w:type="gramEnd"/>
                            <w:r w:rsidRPr="00984D85">
                              <w:rPr>
                                <w:rFonts w:ascii="Arial" w:hAnsi="Arial" w:cs="Arial"/>
                                <w:sz w:val="18"/>
                                <w:szCs w:val="18"/>
                              </w:rPr>
                              <w:t xml:space="preserve"> third-party beneficiaries of the Terms of Use.</w:t>
                            </w:r>
                          </w:p>
                          <w:p w14:paraId="4751D189" w14:textId="77777777" w:rsidR="001D135A" w:rsidRPr="00984D85" w:rsidRDefault="001D135A" w:rsidP="001D135A">
                            <w:pPr>
                              <w:spacing w:after="80" w:line="240" w:lineRule="auto"/>
                              <w:rPr>
                                <w:rFonts w:ascii="Arial" w:hAnsi="Arial" w:cs="Arial"/>
                                <w:sz w:val="18"/>
                                <w:szCs w:val="18"/>
                              </w:rPr>
                            </w:pPr>
                          </w:p>
                          <w:p w14:paraId="28E04C36"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Pr="00077E4A">
                              <w:rPr>
                                <w:rFonts w:ascii="Arial" w:hAnsi="Arial" w:cs="Arial"/>
                                <w:sz w:val="18"/>
                                <w:szCs w:val="18"/>
                              </w:rPr>
                              <w:t xml:space="preserve">AssetMark Investment Management, a division of AssetMark, Inc., includes AssetMark, Savos, and </w:t>
                            </w:r>
                            <w:proofErr w:type="gramStart"/>
                            <w:r w:rsidRPr="00077E4A">
                              <w:rPr>
                                <w:rFonts w:ascii="Arial" w:hAnsi="Arial" w:cs="Arial"/>
                                <w:sz w:val="18"/>
                                <w:szCs w:val="18"/>
                              </w:rPr>
                              <w:t>Aris</w:t>
                            </w:r>
                            <w:proofErr w:type="gramEnd"/>
                            <w:r w:rsidRPr="00077E4A">
                              <w:rPr>
                                <w:rFonts w:ascii="Arial" w:hAnsi="Arial" w:cs="Arial"/>
                                <w:sz w:val="18"/>
                                <w:szCs w:val="18"/>
                              </w:rPr>
                              <w:t xml:space="preserve"> strategies.</w:t>
                            </w:r>
                            <w:r>
                              <w:rPr>
                                <w:rFonts w:ascii="Arial" w:hAnsi="Arial" w:cs="Arial"/>
                                <w:sz w:val="18"/>
                                <w:szCs w:val="18"/>
                              </w:rPr>
                              <w:t xml:space="preserve"> </w:t>
                            </w:r>
                            <w:r w:rsidRPr="00984D85">
                              <w:rPr>
                                <w:rFonts w:ascii="Arial" w:hAnsi="Arial" w:cs="Arial"/>
                                <w:sz w:val="18"/>
                                <w:szCs w:val="18"/>
                              </w:rPr>
                              <w:t>AssetMark and third-party service providers are separate and unaffiliated companies. Each party is responsible for their own content and services.</w:t>
                            </w:r>
                          </w:p>
                          <w:p w14:paraId="47DFE227" w14:textId="662FFCD8" w:rsidR="00B376AC" w:rsidRPr="00984D85" w:rsidRDefault="00B376AC" w:rsidP="000A1EA2">
                            <w:pPr>
                              <w:spacing w:after="80" w:line="240" w:lineRule="auto"/>
                              <w:rPr>
                                <w:rFonts w:ascii="Arial" w:hAnsi="Arial" w:cs="Arial"/>
                                <w:sz w:val="18"/>
                                <w:szCs w:val="18"/>
                              </w:rPr>
                            </w:pPr>
                            <w:r w:rsidRPr="00984D85">
                              <w:rPr>
                                <w:rFonts w:ascii="Arial" w:hAnsi="Arial" w:cs="Arial"/>
                                <w:sz w:val="18"/>
                                <w:szCs w:val="18"/>
                              </w:rPr>
                              <w:t xml:space="preserve">©2022 AssetMark, Inc. All rights reserved. </w:t>
                            </w:r>
                            <w:r w:rsidRPr="00984D85">
                              <w:rPr>
                                <w:rFonts w:ascii="Arial" w:hAnsi="Arial" w:cs="Arial"/>
                                <w:sz w:val="18"/>
                                <w:szCs w:val="18"/>
                              </w:rPr>
                              <w:br/>
                            </w:r>
                            <w:r w:rsidR="001D135A" w:rsidRPr="001D135A">
                              <w:rPr>
                                <w:rFonts w:ascii="Arial" w:hAnsi="Arial" w:cs="Arial"/>
                                <w:sz w:val="18"/>
                                <w:szCs w:val="18"/>
                              </w:rPr>
                              <w:t>104331</w:t>
                            </w:r>
                            <w:r w:rsidRPr="001D135A">
                              <w:rPr>
                                <w:rFonts w:ascii="Arial" w:hAnsi="Arial" w:cs="Arial"/>
                                <w:sz w:val="18"/>
                                <w:szCs w:val="18"/>
                              </w:rPr>
                              <w:t xml:space="preserve"> </w:t>
                            </w:r>
                            <w:r w:rsidR="001D135A" w:rsidRPr="001D135A">
                              <w:rPr>
                                <w:rFonts w:ascii="Arial" w:hAnsi="Arial" w:cs="Arial"/>
                                <w:sz w:val="18"/>
                                <w:szCs w:val="18"/>
                              </w:rPr>
                              <w:t>C22-18959</w:t>
                            </w:r>
                            <w:r w:rsidR="001D135A">
                              <w:rPr>
                                <w:rFonts w:ascii="Arial" w:hAnsi="Arial" w:cs="Arial"/>
                                <w:sz w:val="18"/>
                                <w:szCs w:val="18"/>
                              </w:rPr>
                              <w:t xml:space="preserve"> </w:t>
                            </w:r>
                            <w:r w:rsidRPr="00984D85">
                              <w:rPr>
                                <w:rFonts w:ascii="Arial" w:hAnsi="Arial" w:cs="Arial"/>
                                <w:sz w:val="18"/>
                                <w:szCs w:val="18"/>
                              </w:rPr>
                              <w:t>| 0</w:t>
                            </w:r>
                            <w:r w:rsidR="00472D6B" w:rsidRPr="00984D85">
                              <w:rPr>
                                <w:rFonts w:ascii="Arial" w:hAnsi="Arial" w:cs="Arial"/>
                                <w:sz w:val="18"/>
                                <w:szCs w:val="18"/>
                              </w:rPr>
                              <w:t>6</w:t>
                            </w:r>
                            <w:r w:rsidRPr="00984D85">
                              <w:rPr>
                                <w:rFonts w:ascii="Arial" w:hAnsi="Arial" w:cs="Arial"/>
                                <w:sz w:val="18"/>
                                <w:szCs w:val="18"/>
                              </w:rPr>
                              <w:t>/2022 | EXP 0</w:t>
                            </w:r>
                            <w:r w:rsidR="00472D6B" w:rsidRPr="00984D85">
                              <w:rPr>
                                <w:rFonts w:ascii="Arial" w:hAnsi="Arial" w:cs="Arial"/>
                                <w:sz w:val="18"/>
                                <w:szCs w:val="18"/>
                              </w:rPr>
                              <w:t>6</w:t>
                            </w:r>
                            <w:r w:rsidRPr="00984D85">
                              <w:rPr>
                                <w:rFonts w:ascii="Arial" w:hAnsi="Arial" w:cs="Arial"/>
                                <w:sz w:val="18"/>
                                <w:szCs w:val="18"/>
                              </w:rPr>
                              <w:t>/3</w:t>
                            </w:r>
                            <w:r w:rsidR="0038141C" w:rsidRPr="00984D85">
                              <w:rPr>
                                <w:rFonts w:ascii="Arial" w:hAnsi="Arial" w:cs="Arial"/>
                                <w:sz w:val="18"/>
                                <w:szCs w:val="18"/>
                              </w:rPr>
                              <w:t>0</w:t>
                            </w:r>
                            <w:r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BCB16" id="Text Box 9" o:spid="_x0000_s1027" type="#_x0000_t202" style="position:absolute;left:0;text-align:left;margin-left:56.25pt;margin-top:92.5pt;width:447.45pt;height: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" filled="f" stroked="f" strokeweight=".5pt">
                <v:textbox>
                  <w:txbxContent>
                    <w:p w14:paraId="576BF894" w14:textId="77777777" w:rsidR="00B376AC" w:rsidRPr="00984D85" w:rsidRDefault="00B376AC" w:rsidP="000A1EA2">
                      <w:pPr>
                        <w:spacing w:after="40" w:line="240" w:lineRule="auto"/>
                        <w:rPr>
                          <w:rFonts w:ascii="Arial" w:hAnsi="Arial" w:cs="Arial"/>
                          <w:b/>
                          <w:sz w:val="18"/>
                          <w:szCs w:val="18"/>
                        </w:rPr>
                      </w:pPr>
                      <w:r w:rsidRPr="00984D85">
                        <w:rPr>
                          <w:rFonts w:ascii="Arial" w:hAnsi="Arial" w:cs="Arial"/>
                          <w:b/>
                          <w:sz w:val="18"/>
                          <w:szCs w:val="18"/>
                        </w:rPr>
                        <w:t>IMPORTANT INFORMATION</w:t>
                      </w:r>
                    </w:p>
                    <w:p w14:paraId="61B8C19F"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7E8D120" w14:textId="77777777" w:rsidR="001D135A" w:rsidRPr="00984D85" w:rsidRDefault="001D135A" w:rsidP="001D135A">
                      <w:pPr>
                        <w:spacing w:after="80" w:line="240" w:lineRule="auto"/>
                        <w:rPr>
                          <w:rFonts w:ascii="Arial" w:hAnsi="Arial" w:cs="Arial"/>
                          <w:sz w:val="18"/>
                          <w:szCs w:val="18"/>
                        </w:rPr>
                      </w:pPr>
                    </w:p>
                    <w:p w14:paraId="09AB5C5F" w14:textId="77777777" w:rsidR="001D135A" w:rsidRDefault="001D135A" w:rsidP="001D135A">
                      <w:pPr>
                        <w:spacing w:after="8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E034E47" w14:textId="77777777" w:rsidR="001D135A" w:rsidRPr="00984D85" w:rsidRDefault="001D135A" w:rsidP="001D135A">
                      <w:pPr>
                        <w:spacing w:after="80" w:line="240" w:lineRule="auto"/>
                        <w:rPr>
                          <w:rFonts w:ascii="Arial" w:hAnsi="Arial" w:cs="Arial"/>
                          <w:sz w:val="18"/>
                          <w:szCs w:val="18"/>
                        </w:rPr>
                      </w:pPr>
                    </w:p>
                    <w:p w14:paraId="2FDEC240"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0FCEDD88" w14:textId="77777777" w:rsidR="001D135A" w:rsidRPr="00984D85" w:rsidRDefault="001D135A" w:rsidP="001D135A">
                      <w:pPr>
                        <w:spacing w:after="80" w:line="240" w:lineRule="auto"/>
                        <w:rPr>
                          <w:rFonts w:ascii="Arial" w:hAnsi="Arial" w:cs="Arial"/>
                          <w:sz w:val="18"/>
                          <w:szCs w:val="18"/>
                        </w:rPr>
                      </w:pPr>
                    </w:p>
                    <w:p w14:paraId="0E155A70"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 xml:space="preserve">Please read the Terms of Use posted at www.ewealthmanager.com that govern the use of these materials </w:t>
                      </w:r>
                      <w:proofErr w:type="gramStart"/>
                      <w:r w:rsidRPr="00984D85">
                        <w:rPr>
                          <w:rFonts w:ascii="Arial" w:hAnsi="Arial" w:cs="Arial"/>
                          <w:sz w:val="18"/>
                          <w:szCs w:val="18"/>
                        </w:rPr>
                        <w:t>and also</w:t>
                      </w:r>
                      <w:proofErr w:type="gramEnd"/>
                      <w:r w:rsidRPr="00984D85">
                        <w:rPr>
                          <w:rFonts w:ascii="Arial" w:hAnsi="Arial" w:cs="Arial"/>
                          <w:sz w:val="18"/>
                          <w:szCs w:val="18"/>
                        </w:rPr>
                        <w:t xml:space="preserve"> be advised:</w:t>
                      </w:r>
                    </w:p>
                    <w:p w14:paraId="643B3EB8" w14:textId="77777777" w:rsidR="001D135A" w:rsidRPr="00984D85" w:rsidRDefault="001D135A" w:rsidP="001D135A">
                      <w:pPr>
                        <w:spacing w:after="80" w:line="240" w:lineRule="auto"/>
                        <w:rPr>
                          <w:rFonts w:ascii="Arial" w:hAnsi="Arial" w:cs="Arial"/>
                          <w:sz w:val="18"/>
                          <w:szCs w:val="18"/>
                        </w:rPr>
                      </w:pPr>
                    </w:p>
                    <w:p w14:paraId="4FE21659"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w:t>
                      </w:r>
                    </w:p>
                    <w:p w14:paraId="2F8037B0" w14:textId="77777777" w:rsidR="001D135A" w:rsidRPr="00984D85" w:rsidRDefault="001D135A" w:rsidP="001D135A">
                      <w:pPr>
                        <w:spacing w:after="80" w:line="240" w:lineRule="auto"/>
                        <w:rPr>
                          <w:rFonts w:ascii="Arial" w:hAnsi="Arial" w:cs="Arial"/>
                          <w:sz w:val="18"/>
                          <w:szCs w:val="18"/>
                        </w:rPr>
                      </w:pPr>
                    </w:p>
                    <w:p w14:paraId="64E52F3B"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 xml:space="preserve">You agree not to redistribute the Information to recipients not authorized by AssetMark.  You agree that the Providers </w:t>
                      </w:r>
                      <w:proofErr w:type="gramStart"/>
                      <w:r w:rsidRPr="00984D85">
                        <w:rPr>
                          <w:rFonts w:ascii="Arial" w:hAnsi="Arial" w:cs="Arial"/>
                          <w:sz w:val="18"/>
                          <w:szCs w:val="18"/>
                        </w:rPr>
                        <w:t>are considered to be</w:t>
                      </w:r>
                      <w:proofErr w:type="gramEnd"/>
                      <w:r w:rsidRPr="00984D85">
                        <w:rPr>
                          <w:rFonts w:ascii="Arial" w:hAnsi="Arial" w:cs="Arial"/>
                          <w:sz w:val="18"/>
                          <w:szCs w:val="18"/>
                        </w:rPr>
                        <w:t xml:space="preserve"> third-party beneficiaries of the Terms of Use.</w:t>
                      </w:r>
                    </w:p>
                    <w:p w14:paraId="4751D189" w14:textId="77777777" w:rsidR="001D135A" w:rsidRPr="00984D85" w:rsidRDefault="001D135A" w:rsidP="001D135A">
                      <w:pPr>
                        <w:spacing w:after="80" w:line="240" w:lineRule="auto"/>
                        <w:rPr>
                          <w:rFonts w:ascii="Arial" w:hAnsi="Arial" w:cs="Arial"/>
                          <w:sz w:val="18"/>
                          <w:szCs w:val="18"/>
                        </w:rPr>
                      </w:pPr>
                    </w:p>
                    <w:p w14:paraId="28E04C36" w14:textId="77777777" w:rsidR="001D135A" w:rsidRDefault="001D135A" w:rsidP="001D135A">
                      <w:pPr>
                        <w:spacing w:after="8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Pr="00077E4A">
                        <w:rPr>
                          <w:rFonts w:ascii="Arial" w:hAnsi="Arial" w:cs="Arial"/>
                          <w:sz w:val="18"/>
                          <w:szCs w:val="18"/>
                        </w:rPr>
                        <w:t xml:space="preserve">AssetMark Investment Management, a division of AssetMark, Inc., includes AssetMark, Savos, and </w:t>
                      </w:r>
                      <w:proofErr w:type="gramStart"/>
                      <w:r w:rsidRPr="00077E4A">
                        <w:rPr>
                          <w:rFonts w:ascii="Arial" w:hAnsi="Arial" w:cs="Arial"/>
                          <w:sz w:val="18"/>
                          <w:szCs w:val="18"/>
                        </w:rPr>
                        <w:t>Aris</w:t>
                      </w:r>
                      <w:proofErr w:type="gramEnd"/>
                      <w:r w:rsidRPr="00077E4A">
                        <w:rPr>
                          <w:rFonts w:ascii="Arial" w:hAnsi="Arial" w:cs="Arial"/>
                          <w:sz w:val="18"/>
                          <w:szCs w:val="18"/>
                        </w:rPr>
                        <w:t xml:space="preserve"> strategies.</w:t>
                      </w:r>
                      <w:r>
                        <w:rPr>
                          <w:rFonts w:ascii="Arial" w:hAnsi="Arial" w:cs="Arial"/>
                          <w:sz w:val="18"/>
                          <w:szCs w:val="18"/>
                        </w:rPr>
                        <w:t xml:space="preserve"> </w:t>
                      </w:r>
                      <w:r w:rsidRPr="00984D85">
                        <w:rPr>
                          <w:rFonts w:ascii="Arial" w:hAnsi="Arial" w:cs="Arial"/>
                          <w:sz w:val="18"/>
                          <w:szCs w:val="18"/>
                        </w:rPr>
                        <w:t>AssetMark and third-party service providers are separate and unaffiliated companies. Each party is responsible for their own content and services.</w:t>
                      </w:r>
                    </w:p>
                    <w:p w14:paraId="47DFE227" w14:textId="662FFCD8" w:rsidR="00B376AC" w:rsidRPr="00984D85" w:rsidRDefault="00B376AC" w:rsidP="000A1EA2">
                      <w:pPr>
                        <w:spacing w:after="80" w:line="240" w:lineRule="auto"/>
                        <w:rPr>
                          <w:rFonts w:ascii="Arial" w:hAnsi="Arial" w:cs="Arial"/>
                          <w:sz w:val="18"/>
                          <w:szCs w:val="18"/>
                        </w:rPr>
                      </w:pPr>
                      <w:r w:rsidRPr="00984D85">
                        <w:rPr>
                          <w:rFonts w:ascii="Arial" w:hAnsi="Arial" w:cs="Arial"/>
                          <w:sz w:val="18"/>
                          <w:szCs w:val="18"/>
                        </w:rPr>
                        <w:t xml:space="preserve">©2022 AssetMark, Inc. All rights reserved. </w:t>
                      </w:r>
                      <w:r w:rsidRPr="00984D85">
                        <w:rPr>
                          <w:rFonts w:ascii="Arial" w:hAnsi="Arial" w:cs="Arial"/>
                          <w:sz w:val="18"/>
                          <w:szCs w:val="18"/>
                        </w:rPr>
                        <w:br/>
                      </w:r>
                      <w:r w:rsidR="001D135A" w:rsidRPr="001D135A">
                        <w:rPr>
                          <w:rFonts w:ascii="Arial" w:hAnsi="Arial" w:cs="Arial"/>
                          <w:sz w:val="18"/>
                          <w:szCs w:val="18"/>
                        </w:rPr>
                        <w:t>104331</w:t>
                      </w:r>
                      <w:r w:rsidRPr="001D135A">
                        <w:rPr>
                          <w:rFonts w:ascii="Arial" w:hAnsi="Arial" w:cs="Arial"/>
                          <w:sz w:val="18"/>
                          <w:szCs w:val="18"/>
                        </w:rPr>
                        <w:t xml:space="preserve"> </w:t>
                      </w:r>
                      <w:r w:rsidR="001D135A" w:rsidRPr="001D135A">
                        <w:rPr>
                          <w:rFonts w:ascii="Arial" w:hAnsi="Arial" w:cs="Arial"/>
                          <w:sz w:val="18"/>
                          <w:szCs w:val="18"/>
                        </w:rPr>
                        <w:t>C22-18959</w:t>
                      </w:r>
                      <w:r w:rsidR="001D135A">
                        <w:rPr>
                          <w:rFonts w:ascii="Arial" w:hAnsi="Arial" w:cs="Arial"/>
                          <w:sz w:val="18"/>
                          <w:szCs w:val="18"/>
                        </w:rPr>
                        <w:t xml:space="preserve"> </w:t>
                      </w:r>
                      <w:r w:rsidRPr="00984D85">
                        <w:rPr>
                          <w:rFonts w:ascii="Arial" w:hAnsi="Arial" w:cs="Arial"/>
                          <w:sz w:val="18"/>
                          <w:szCs w:val="18"/>
                        </w:rPr>
                        <w:t>| 0</w:t>
                      </w:r>
                      <w:r w:rsidR="00472D6B" w:rsidRPr="00984D85">
                        <w:rPr>
                          <w:rFonts w:ascii="Arial" w:hAnsi="Arial" w:cs="Arial"/>
                          <w:sz w:val="18"/>
                          <w:szCs w:val="18"/>
                        </w:rPr>
                        <w:t>6</w:t>
                      </w:r>
                      <w:r w:rsidRPr="00984D85">
                        <w:rPr>
                          <w:rFonts w:ascii="Arial" w:hAnsi="Arial" w:cs="Arial"/>
                          <w:sz w:val="18"/>
                          <w:szCs w:val="18"/>
                        </w:rPr>
                        <w:t>/2022 | EXP 0</w:t>
                      </w:r>
                      <w:r w:rsidR="00472D6B" w:rsidRPr="00984D85">
                        <w:rPr>
                          <w:rFonts w:ascii="Arial" w:hAnsi="Arial" w:cs="Arial"/>
                          <w:sz w:val="18"/>
                          <w:szCs w:val="18"/>
                        </w:rPr>
                        <w:t>6</w:t>
                      </w:r>
                      <w:r w:rsidRPr="00984D85">
                        <w:rPr>
                          <w:rFonts w:ascii="Arial" w:hAnsi="Arial" w:cs="Arial"/>
                          <w:sz w:val="18"/>
                          <w:szCs w:val="18"/>
                        </w:rPr>
                        <w:t>/3</w:t>
                      </w:r>
                      <w:r w:rsidR="0038141C" w:rsidRPr="00984D85">
                        <w:rPr>
                          <w:rFonts w:ascii="Arial" w:hAnsi="Arial" w:cs="Arial"/>
                          <w:sz w:val="18"/>
                          <w:szCs w:val="18"/>
                        </w:rPr>
                        <w:t>0</w:t>
                      </w:r>
                      <w:r w:rsidRPr="00984D85">
                        <w:rPr>
                          <w:rFonts w:ascii="Arial" w:hAnsi="Arial" w:cs="Arial"/>
                          <w:sz w:val="18"/>
                          <w:szCs w:val="18"/>
                        </w:rPr>
                        <w:t>/2024</w:t>
                      </w:r>
                    </w:p>
                  </w:txbxContent>
                </v:textbox>
              </v:shape>
            </w:pict>
          </mc:Fallback>
        </mc:AlternateContent>
      </w:r>
    </w:p>
    <w:sectPr w:rsidR="00D8372D" w:rsidRPr="000A1EA2" w:rsidSect="000A1EA2">
      <w:headerReference w:type="default" r:id="rId17"/>
      <w:footerReference w:type="even" r:id="rId18"/>
      <w:footerReference w:type="default" r:id="rId19"/>
      <w:headerReference w:type="first" r:id="rId20"/>
      <w:footerReference w:type="first" r:id="rId21"/>
      <w:type w:val="continuous"/>
      <w:pgSz w:w="12240" w:h="15840"/>
      <w:pgMar w:top="-1656"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AE19" w14:textId="77777777" w:rsidR="00DA0B3D" w:rsidRDefault="00DA0B3D" w:rsidP="005C1D70">
      <w:pPr>
        <w:spacing w:after="0" w:line="240" w:lineRule="auto"/>
      </w:pPr>
      <w:r>
        <w:separator/>
      </w:r>
    </w:p>
  </w:endnote>
  <w:endnote w:type="continuationSeparator" w:id="0">
    <w:p w14:paraId="79E3A3ED" w14:textId="77777777" w:rsidR="00DA0B3D" w:rsidRDefault="00DA0B3D" w:rsidP="005C1D70">
      <w:pPr>
        <w:spacing w:after="0" w:line="240" w:lineRule="auto"/>
      </w:pPr>
      <w:r>
        <w:continuationSeparator/>
      </w:r>
    </w:p>
  </w:endnote>
  <w:endnote w:type="continuationNotice" w:id="1">
    <w:p w14:paraId="0B96B66F" w14:textId="77777777" w:rsidR="00DA0B3D" w:rsidRDefault="00DA0B3D">
      <w:pPr>
        <w:spacing w:after="0" w:line="240" w:lineRule="auto"/>
      </w:pPr>
    </w:p>
  </w:endnote>
  <w:endnote w:id="2">
    <w:p w14:paraId="6EA93BDA" w14:textId="32202DD6" w:rsidR="007C3EC9" w:rsidRPr="003D148E" w:rsidRDefault="007C3EC9">
      <w:pPr>
        <w:pStyle w:val="EndnoteText"/>
        <w:rPr>
          <w:rFonts w:ascii="Arial" w:hAnsi="Arial" w:cs="Arial"/>
          <w:sz w:val="16"/>
          <w:szCs w:val="16"/>
        </w:rPr>
      </w:pPr>
      <w:r w:rsidRPr="003D148E">
        <w:rPr>
          <w:rStyle w:val="EndnoteReference"/>
          <w:rFonts w:ascii="Arial" w:hAnsi="Arial" w:cs="Arial"/>
          <w:sz w:val="16"/>
          <w:szCs w:val="16"/>
        </w:rPr>
        <w:endnoteRef/>
      </w:r>
      <w:r w:rsidRPr="003D148E">
        <w:rPr>
          <w:rFonts w:ascii="Arial" w:hAnsi="Arial" w:cs="Arial"/>
          <w:sz w:val="16"/>
          <w:szCs w:val="16"/>
        </w:rPr>
        <w:t xml:space="preserve"> Gross Domestic Product (GDP) is the value of all goods and services produced by the economy.</w:t>
      </w:r>
    </w:p>
  </w:endnote>
  <w:endnote w:id="3">
    <w:p w14:paraId="04D8943C" w14:textId="77777777" w:rsidR="00B61328" w:rsidRPr="003D148E" w:rsidRDefault="00B61328" w:rsidP="00B61328">
      <w:pPr>
        <w:pStyle w:val="EndnoteText"/>
        <w:rPr>
          <w:rFonts w:ascii="Arial" w:hAnsi="Arial" w:cs="Arial"/>
          <w:sz w:val="16"/>
          <w:szCs w:val="16"/>
        </w:rPr>
      </w:pPr>
      <w:r w:rsidRPr="003D148E">
        <w:rPr>
          <w:rStyle w:val="EndnoteReference"/>
          <w:rFonts w:ascii="Arial" w:hAnsi="Arial" w:cs="Arial"/>
          <w:sz w:val="16"/>
          <w:szCs w:val="16"/>
        </w:rPr>
        <w:endnoteRef/>
      </w:r>
      <w:r w:rsidRPr="003D148E">
        <w:rPr>
          <w:rFonts w:ascii="Arial" w:hAnsi="Arial" w:cs="Arial"/>
          <w:sz w:val="16"/>
          <w:szCs w:val="16"/>
        </w:rPr>
        <w:t xml:space="preserve"> Forbes. How stocks perform before, during and, after recessions may surprise you.</w:t>
      </w:r>
    </w:p>
  </w:endnote>
  <w:endnote w:id="4">
    <w:p w14:paraId="03BB7D38" w14:textId="77777777" w:rsidR="00B61328" w:rsidRPr="003D148E" w:rsidRDefault="00B61328" w:rsidP="00B61328">
      <w:pPr>
        <w:pStyle w:val="EndnoteText"/>
        <w:rPr>
          <w:rFonts w:ascii="Arial" w:hAnsi="Arial" w:cs="Arial"/>
          <w:sz w:val="16"/>
          <w:szCs w:val="16"/>
        </w:rPr>
      </w:pPr>
      <w:r w:rsidRPr="003D148E">
        <w:rPr>
          <w:rStyle w:val="EndnoteReference"/>
          <w:rFonts w:ascii="Arial" w:hAnsi="Arial" w:cs="Arial"/>
          <w:sz w:val="16"/>
          <w:szCs w:val="16"/>
        </w:rPr>
        <w:endnoteRef/>
      </w:r>
      <w:r w:rsidRPr="003D148E">
        <w:rPr>
          <w:rFonts w:ascii="Arial" w:hAnsi="Arial" w:cs="Arial"/>
          <w:sz w:val="16"/>
          <w:szCs w:val="16"/>
        </w:rPr>
        <w:t xml:space="preserve"> Beaumont Capital Management. Staying the Course During Turbulent Times. June 2022.</w:t>
      </w:r>
      <w:r w:rsidRPr="003D148E">
        <w:rPr>
          <w:rFonts w:ascii="Arial" w:hAnsi="Arial" w:cs="Arial"/>
          <w:sz w:val="16"/>
          <w:szCs w:val="16"/>
        </w:rPr>
        <w:tab/>
      </w:r>
    </w:p>
  </w:endnote>
  <w:endnote w:id="5">
    <w:p w14:paraId="4ABF8265" w14:textId="23F2A890" w:rsidR="00B61328" w:rsidRDefault="00B61328" w:rsidP="00B61328">
      <w:pPr>
        <w:pStyle w:val="EndnoteText"/>
      </w:pPr>
      <w:r w:rsidRPr="003D148E">
        <w:rPr>
          <w:rStyle w:val="EndnoteReference"/>
          <w:rFonts w:ascii="Arial" w:hAnsi="Arial" w:cs="Arial"/>
          <w:sz w:val="16"/>
          <w:szCs w:val="16"/>
        </w:rPr>
        <w:endnoteRef/>
      </w:r>
      <w:r w:rsidRPr="003D148E">
        <w:rPr>
          <w:rFonts w:ascii="Arial" w:hAnsi="Arial" w:cs="Arial"/>
          <w:sz w:val="16"/>
          <w:szCs w:val="16"/>
        </w:rPr>
        <w:t xml:space="preserve"> Beaumont Capital Management. Staying the Course During Turbulent Times. June 2022.</w:t>
      </w:r>
      <w:r w:rsidRPr="00ED23F0">
        <w:rPr>
          <w:sz w:val="18"/>
          <w:szCs w:val="18"/>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632973"/>
      <w:docPartObj>
        <w:docPartGallery w:val="Page Numbers (Bottom of Page)"/>
        <w:docPartUnique/>
      </w:docPartObj>
    </w:sdtPr>
    <w:sdtEndPr>
      <w:rPr>
        <w:rStyle w:val="PageNumber"/>
      </w:rPr>
    </w:sdtEnd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28"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29"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10709"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7777777" w:rsidR="00D64EE1" w:rsidRDefault="00D64EE1" w:rsidP="00996FBD">
    <w:pPr>
      <w:pStyle w:val="Footer"/>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31"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104C"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32"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3"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4"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2A10C"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6"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59279"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7"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E0BF" w14:textId="77777777" w:rsidR="00DA0B3D" w:rsidRDefault="00DA0B3D" w:rsidP="005C1D70">
      <w:pPr>
        <w:spacing w:after="0" w:line="240" w:lineRule="auto"/>
      </w:pPr>
      <w:r>
        <w:separator/>
      </w:r>
    </w:p>
  </w:footnote>
  <w:footnote w:type="continuationSeparator" w:id="0">
    <w:p w14:paraId="2229B3F0" w14:textId="77777777" w:rsidR="00DA0B3D" w:rsidRDefault="00DA0B3D" w:rsidP="005C1D70">
      <w:pPr>
        <w:spacing w:after="0" w:line="240" w:lineRule="auto"/>
      </w:pPr>
      <w:r>
        <w:continuationSeparator/>
      </w:r>
    </w:p>
  </w:footnote>
  <w:footnote w:type="continuationNotice" w:id="1">
    <w:p w14:paraId="604A7D87" w14:textId="77777777" w:rsidR="00DA0B3D" w:rsidRDefault="00DA0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13635"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30"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53BF8"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p w14:paraId="08A34977" w14:textId="77777777" w:rsidR="0052779A" w:rsidRDefault="005277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5"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87490"/>
    <w:multiLevelType w:val="hybridMultilevel"/>
    <w:tmpl w:val="10E46CA6"/>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5"/>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8FAOaw8FAt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4758"/>
    <w:rsid w:val="000722DB"/>
    <w:rsid w:val="00073935"/>
    <w:rsid w:val="00077C58"/>
    <w:rsid w:val="000814C1"/>
    <w:rsid w:val="0008193C"/>
    <w:rsid w:val="000914FE"/>
    <w:rsid w:val="000918CD"/>
    <w:rsid w:val="000929CD"/>
    <w:rsid w:val="00093973"/>
    <w:rsid w:val="00095B7E"/>
    <w:rsid w:val="00096A6C"/>
    <w:rsid w:val="00096E1B"/>
    <w:rsid w:val="0009742D"/>
    <w:rsid w:val="000A1EA2"/>
    <w:rsid w:val="000A2233"/>
    <w:rsid w:val="000A2A48"/>
    <w:rsid w:val="000A3168"/>
    <w:rsid w:val="000A41F2"/>
    <w:rsid w:val="000A4620"/>
    <w:rsid w:val="000A4A44"/>
    <w:rsid w:val="000A52EB"/>
    <w:rsid w:val="000A66DC"/>
    <w:rsid w:val="000A760B"/>
    <w:rsid w:val="000A7E8D"/>
    <w:rsid w:val="000B0F6E"/>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403C2"/>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365"/>
    <w:rsid w:val="001744D7"/>
    <w:rsid w:val="001771A6"/>
    <w:rsid w:val="001771C3"/>
    <w:rsid w:val="0018075C"/>
    <w:rsid w:val="00183C83"/>
    <w:rsid w:val="001840EC"/>
    <w:rsid w:val="00184150"/>
    <w:rsid w:val="0018459B"/>
    <w:rsid w:val="001926E4"/>
    <w:rsid w:val="001957F2"/>
    <w:rsid w:val="001A040C"/>
    <w:rsid w:val="001A2A9C"/>
    <w:rsid w:val="001A608E"/>
    <w:rsid w:val="001A6491"/>
    <w:rsid w:val="001A6FCF"/>
    <w:rsid w:val="001A7669"/>
    <w:rsid w:val="001B551C"/>
    <w:rsid w:val="001B65CA"/>
    <w:rsid w:val="001B76D2"/>
    <w:rsid w:val="001C047B"/>
    <w:rsid w:val="001C243B"/>
    <w:rsid w:val="001C3E90"/>
    <w:rsid w:val="001C477B"/>
    <w:rsid w:val="001C7B17"/>
    <w:rsid w:val="001D06C9"/>
    <w:rsid w:val="001D135A"/>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1F7146"/>
    <w:rsid w:val="0020044D"/>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6335E"/>
    <w:rsid w:val="00265075"/>
    <w:rsid w:val="002659A6"/>
    <w:rsid w:val="0026609E"/>
    <w:rsid w:val="002703E7"/>
    <w:rsid w:val="002708C4"/>
    <w:rsid w:val="00271648"/>
    <w:rsid w:val="002751E2"/>
    <w:rsid w:val="0027544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7AF5"/>
    <w:rsid w:val="002A7DEA"/>
    <w:rsid w:val="002B031B"/>
    <w:rsid w:val="002B04A2"/>
    <w:rsid w:val="002B220F"/>
    <w:rsid w:val="002B31C6"/>
    <w:rsid w:val="002B4007"/>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4FCA"/>
    <w:rsid w:val="002F5A6A"/>
    <w:rsid w:val="002F5DC3"/>
    <w:rsid w:val="002F77A8"/>
    <w:rsid w:val="0030122C"/>
    <w:rsid w:val="00301C1D"/>
    <w:rsid w:val="00302B13"/>
    <w:rsid w:val="003032DF"/>
    <w:rsid w:val="00303F38"/>
    <w:rsid w:val="0030495F"/>
    <w:rsid w:val="003052C2"/>
    <w:rsid w:val="0030574A"/>
    <w:rsid w:val="003070A6"/>
    <w:rsid w:val="00307E75"/>
    <w:rsid w:val="0031343F"/>
    <w:rsid w:val="0031348F"/>
    <w:rsid w:val="00315EC7"/>
    <w:rsid w:val="00315ED7"/>
    <w:rsid w:val="00317567"/>
    <w:rsid w:val="00322F96"/>
    <w:rsid w:val="00323118"/>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466F"/>
    <w:rsid w:val="003547A0"/>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4A4"/>
    <w:rsid w:val="00374878"/>
    <w:rsid w:val="003754C3"/>
    <w:rsid w:val="00375A69"/>
    <w:rsid w:val="00376588"/>
    <w:rsid w:val="00376E67"/>
    <w:rsid w:val="00377387"/>
    <w:rsid w:val="00377E74"/>
    <w:rsid w:val="00380146"/>
    <w:rsid w:val="0038141C"/>
    <w:rsid w:val="0038303E"/>
    <w:rsid w:val="003873A0"/>
    <w:rsid w:val="0038787E"/>
    <w:rsid w:val="003907BC"/>
    <w:rsid w:val="003924E9"/>
    <w:rsid w:val="003938F1"/>
    <w:rsid w:val="003974FF"/>
    <w:rsid w:val="003A309F"/>
    <w:rsid w:val="003A3169"/>
    <w:rsid w:val="003A3DC3"/>
    <w:rsid w:val="003A5B02"/>
    <w:rsid w:val="003B7A4F"/>
    <w:rsid w:val="003C19BD"/>
    <w:rsid w:val="003C1DC1"/>
    <w:rsid w:val="003C336F"/>
    <w:rsid w:val="003C3B24"/>
    <w:rsid w:val="003C3B39"/>
    <w:rsid w:val="003C4FEE"/>
    <w:rsid w:val="003C650F"/>
    <w:rsid w:val="003C732E"/>
    <w:rsid w:val="003D0E87"/>
    <w:rsid w:val="003D148E"/>
    <w:rsid w:val="003D3D89"/>
    <w:rsid w:val="003D49E2"/>
    <w:rsid w:val="003D4EDF"/>
    <w:rsid w:val="003D5178"/>
    <w:rsid w:val="003D5BAD"/>
    <w:rsid w:val="003D5CC5"/>
    <w:rsid w:val="003E123B"/>
    <w:rsid w:val="003E3F96"/>
    <w:rsid w:val="003E4989"/>
    <w:rsid w:val="003E66DD"/>
    <w:rsid w:val="003E7E62"/>
    <w:rsid w:val="003F06EA"/>
    <w:rsid w:val="003F2AC0"/>
    <w:rsid w:val="003F53A2"/>
    <w:rsid w:val="003F5425"/>
    <w:rsid w:val="003F7A5E"/>
    <w:rsid w:val="0040163B"/>
    <w:rsid w:val="0040338F"/>
    <w:rsid w:val="00405C87"/>
    <w:rsid w:val="00406D87"/>
    <w:rsid w:val="00407E87"/>
    <w:rsid w:val="00410B19"/>
    <w:rsid w:val="00413898"/>
    <w:rsid w:val="00413BDA"/>
    <w:rsid w:val="004206E4"/>
    <w:rsid w:val="00420FAA"/>
    <w:rsid w:val="004235E6"/>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2AE3"/>
    <w:rsid w:val="004532EF"/>
    <w:rsid w:val="004537D3"/>
    <w:rsid w:val="004603CA"/>
    <w:rsid w:val="0046213A"/>
    <w:rsid w:val="0046252A"/>
    <w:rsid w:val="00463D78"/>
    <w:rsid w:val="004674A8"/>
    <w:rsid w:val="004710D7"/>
    <w:rsid w:val="00471615"/>
    <w:rsid w:val="004727FE"/>
    <w:rsid w:val="00472AE1"/>
    <w:rsid w:val="00472D6B"/>
    <w:rsid w:val="0047452A"/>
    <w:rsid w:val="00474874"/>
    <w:rsid w:val="004763F5"/>
    <w:rsid w:val="00477034"/>
    <w:rsid w:val="004827A8"/>
    <w:rsid w:val="00482AD8"/>
    <w:rsid w:val="00483BB5"/>
    <w:rsid w:val="0048463F"/>
    <w:rsid w:val="0048697A"/>
    <w:rsid w:val="004934B0"/>
    <w:rsid w:val="0049397B"/>
    <w:rsid w:val="00495D8E"/>
    <w:rsid w:val="004A21C9"/>
    <w:rsid w:val="004A407B"/>
    <w:rsid w:val="004A480B"/>
    <w:rsid w:val="004A58E8"/>
    <w:rsid w:val="004B1C5E"/>
    <w:rsid w:val="004B405D"/>
    <w:rsid w:val="004B4C4E"/>
    <w:rsid w:val="004B747F"/>
    <w:rsid w:val="004D0404"/>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361A"/>
    <w:rsid w:val="00525999"/>
    <w:rsid w:val="00525FA1"/>
    <w:rsid w:val="0052779A"/>
    <w:rsid w:val="005301AE"/>
    <w:rsid w:val="005301EF"/>
    <w:rsid w:val="00530D3C"/>
    <w:rsid w:val="00530EE8"/>
    <w:rsid w:val="005314DA"/>
    <w:rsid w:val="00531E8F"/>
    <w:rsid w:val="0053563A"/>
    <w:rsid w:val="005416C7"/>
    <w:rsid w:val="00543E70"/>
    <w:rsid w:val="00544030"/>
    <w:rsid w:val="0054674E"/>
    <w:rsid w:val="00547C3B"/>
    <w:rsid w:val="00547DD0"/>
    <w:rsid w:val="00550B80"/>
    <w:rsid w:val="005515D6"/>
    <w:rsid w:val="0055278C"/>
    <w:rsid w:val="00555908"/>
    <w:rsid w:val="005572CF"/>
    <w:rsid w:val="00557B64"/>
    <w:rsid w:val="00562245"/>
    <w:rsid w:val="005630F1"/>
    <w:rsid w:val="00564BFD"/>
    <w:rsid w:val="005652D2"/>
    <w:rsid w:val="00567BC4"/>
    <w:rsid w:val="00570E73"/>
    <w:rsid w:val="00571345"/>
    <w:rsid w:val="00571AF0"/>
    <w:rsid w:val="0057379A"/>
    <w:rsid w:val="00573D3B"/>
    <w:rsid w:val="00581037"/>
    <w:rsid w:val="00582149"/>
    <w:rsid w:val="00582BFE"/>
    <w:rsid w:val="00586AAD"/>
    <w:rsid w:val="00590056"/>
    <w:rsid w:val="005916CE"/>
    <w:rsid w:val="0059193B"/>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C5AB2"/>
    <w:rsid w:val="005D314A"/>
    <w:rsid w:val="005D5738"/>
    <w:rsid w:val="005D65A6"/>
    <w:rsid w:val="005E0046"/>
    <w:rsid w:val="005E0660"/>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1C1"/>
    <w:rsid w:val="00677960"/>
    <w:rsid w:val="00680792"/>
    <w:rsid w:val="006811FE"/>
    <w:rsid w:val="006854F9"/>
    <w:rsid w:val="00690366"/>
    <w:rsid w:val="006922B1"/>
    <w:rsid w:val="00692877"/>
    <w:rsid w:val="00692C46"/>
    <w:rsid w:val="00696A84"/>
    <w:rsid w:val="00697EC5"/>
    <w:rsid w:val="00697FB9"/>
    <w:rsid w:val="006A20D7"/>
    <w:rsid w:val="006A3B28"/>
    <w:rsid w:val="006A6909"/>
    <w:rsid w:val="006A692C"/>
    <w:rsid w:val="006B1FA0"/>
    <w:rsid w:val="006B38C4"/>
    <w:rsid w:val="006B41B5"/>
    <w:rsid w:val="006B71AD"/>
    <w:rsid w:val="006B764E"/>
    <w:rsid w:val="006C1617"/>
    <w:rsid w:val="006C1713"/>
    <w:rsid w:val="006D18A5"/>
    <w:rsid w:val="006D40C9"/>
    <w:rsid w:val="006D4CB3"/>
    <w:rsid w:val="006D4E4E"/>
    <w:rsid w:val="006D5AD6"/>
    <w:rsid w:val="006D5D51"/>
    <w:rsid w:val="006E0642"/>
    <w:rsid w:val="006E21E7"/>
    <w:rsid w:val="006E42E2"/>
    <w:rsid w:val="006E5A4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35DE"/>
    <w:rsid w:val="007343DA"/>
    <w:rsid w:val="00735F86"/>
    <w:rsid w:val="007361B6"/>
    <w:rsid w:val="007373C5"/>
    <w:rsid w:val="007400AC"/>
    <w:rsid w:val="007402C1"/>
    <w:rsid w:val="00741A0D"/>
    <w:rsid w:val="00742910"/>
    <w:rsid w:val="00747F8C"/>
    <w:rsid w:val="007502DB"/>
    <w:rsid w:val="00751326"/>
    <w:rsid w:val="00754230"/>
    <w:rsid w:val="00755D9E"/>
    <w:rsid w:val="00756238"/>
    <w:rsid w:val="00756248"/>
    <w:rsid w:val="00761689"/>
    <w:rsid w:val="00762787"/>
    <w:rsid w:val="007667FA"/>
    <w:rsid w:val="00766D3F"/>
    <w:rsid w:val="00766F4E"/>
    <w:rsid w:val="00770715"/>
    <w:rsid w:val="007725C0"/>
    <w:rsid w:val="00772D71"/>
    <w:rsid w:val="0077368A"/>
    <w:rsid w:val="00774792"/>
    <w:rsid w:val="007751EB"/>
    <w:rsid w:val="007761D0"/>
    <w:rsid w:val="00776670"/>
    <w:rsid w:val="00777E17"/>
    <w:rsid w:val="007841DB"/>
    <w:rsid w:val="00786712"/>
    <w:rsid w:val="00786999"/>
    <w:rsid w:val="0079056F"/>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C2762"/>
    <w:rsid w:val="007C326B"/>
    <w:rsid w:val="007C3EC9"/>
    <w:rsid w:val="007C4C9B"/>
    <w:rsid w:val="007C58D3"/>
    <w:rsid w:val="007D13EC"/>
    <w:rsid w:val="007D272C"/>
    <w:rsid w:val="007D33D1"/>
    <w:rsid w:val="007D3FE7"/>
    <w:rsid w:val="007E07FB"/>
    <w:rsid w:val="007E1FFF"/>
    <w:rsid w:val="007E2D97"/>
    <w:rsid w:val="007E4D14"/>
    <w:rsid w:val="007E4F79"/>
    <w:rsid w:val="007E500E"/>
    <w:rsid w:val="007F0098"/>
    <w:rsid w:val="007F0C4B"/>
    <w:rsid w:val="007F45A8"/>
    <w:rsid w:val="007F6E52"/>
    <w:rsid w:val="007F7196"/>
    <w:rsid w:val="007F7A37"/>
    <w:rsid w:val="0080095E"/>
    <w:rsid w:val="008014E7"/>
    <w:rsid w:val="00802261"/>
    <w:rsid w:val="00802C3F"/>
    <w:rsid w:val="0080421B"/>
    <w:rsid w:val="00804869"/>
    <w:rsid w:val="0080562C"/>
    <w:rsid w:val="008078E3"/>
    <w:rsid w:val="00814CC5"/>
    <w:rsid w:val="0081544F"/>
    <w:rsid w:val="0082064B"/>
    <w:rsid w:val="008207A5"/>
    <w:rsid w:val="00822212"/>
    <w:rsid w:val="00824645"/>
    <w:rsid w:val="00826DCB"/>
    <w:rsid w:val="00830AB5"/>
    <w:rsid w:val="00830C3B"/>
    <w:rsid w:val="0083518D"/>
    <w:rsid w:val="00835F3D"/>
    <w:rsid w:val="008402F1"/>
    <w:rsid w:val="0084451F"/>
    <w:rsid w:val="0084584A"/>
    <w:rsid w:val="008469D0"/>
    <w:rsid w:val="008471AE"/>
    <w:rsid w:val="00854D42"/>
    <w:rsid w:val="00855FA1"/>
    <w:rsid w:val="008575C5"/>
    <w:rsid w:val="008575E2"/>
    <w:rsid w:val="00860670"/>
    <w:rsid w:val="0086137D"/>
    <w:rsid w:val="00862BD2"/>
    <w:rsid w:val="00865135"/>
    <w:rsid w:val="00873BEC"/>
    <w:rsid w:val="00873F82"/>
    <w:rsid w:val="008747C2"/>
    <w:rsid w:val="008759DD"/>
    <w:rsid w:val="008761DA"/>
    <w:rsid w:val="00876840"/>
    <w:rsid w:val="008803CC"/>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1B85"/>
    <w:rsid w:val="008F2A77"/>
    <w:rsid w:val="008F2F83"/>
    <w:rsid w:val="008F668C"/>
    <w:rsid w:val="008F7FF7"/>
    <w:rsid w:val="00904D0B"/>
    <w:rsid w:val="00905712"/>
    <w:rsid w:val="00906021"/>
    <w:rsid w:val="009135BC"/>
    <w:rsid w:val="00913674"/>
    <w:rsid w:val="00914FF1"/>
    <w:rsid w:val="009164E6"/>
    <w:rsid w:val="009167C2"/>
    <w:rsid w:val="00917AEB"/>
    <w:rsid w:val="009202CF"/>
    <w:rsid w:val="009235FD"/>
    <w:rsid w:val="009303F8"/>
    <w:rsid w:val="009348AE"/>
    <w:rsid w:val="00934B0C"/>
    <w:rsid w:val="009353EB"/>
    <w:rsid w:val="0093603C"/>
    <w:rsid w:val="00936F18"/>
    <w:rsid w:val="00940303"/>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702B6"/>
    <w:rsid w:val="00970AF3"/>
    <w:rsid w:val="00973F3B"/>
    <w:rsid w:val="00974997"/>
    <w:rsid w:val="009818B7"/>
    <w:rsid w:val="009822A6"/>
    <w:rsid w:val="00984D85"/>
    <w:rsid w:val="0098561A"/>
    <w:rsid w:val="00987228"/>
    <w:rsid w:val="009874EB"/>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F1558"/>
    <w:rsid w:val="00A01EEA"/>
    <w:rsid w:val="00A02289"/>
    <w:rsid w:val="00A056E1"/>
    <w:rsid w:val="00A05ADF"/>
    <w:rsid w:val="00A20977"/>
    <w:rsid w:val="00A21B25"/>
    <w:rsid w:val="00A22EC1"/>
    <w:rsid w:val="00A24A3A"/>
    <w:rsid w:val="00A25366"/>
    <w:rsid w:val="00A26F99"/>
    <w:rsid w:val="00A26FC7"/>
    <w:rsid w:val="00A30ACB"/>
    <w:rsid w:val="00A3216E"/>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06A"/>
    <w:rsid w:val="00A673D6"/>
    <w:rsid w:val="00A72C1F"/>
    <w:rsid w:val="00A74E95"/>
    <w:rsid w:val="00A765EC"/>
    <w:rsid w:val="00A76662"/>
    <w:rsid w:val="00A77733"/>
    <w:rsid w:val="00A80029"/>
    <w:rsid w:val="00A808C8"/>
    <w:rsid w:val="00A81357"/>
    <w:rsid w:val="00A832A0"/>
    <w:rsid w:val="00A83F77"/>
    <w:rsid w:val="00A85291"/>
    <w:rsid w:val="00A8740A"/>
    <w:rsid w:val="00A87FF9"/>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276A"/>
    <w:rsid w:val="00AE3251"/>
    <w:rsid w:val="00AE3EED"/>
    <w:rsid w:val="00AE6C1B"/>
    <w:rsid w:val="00AF61CF"/>
    <w:rsid w:val="00AF72BC"/>
    <w:rsid w:val="00AF7ED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1328"/>
    <w:rsid w:val="00B63131"/>
    <w:rsid w:val="00B6736E"/>
    <w:rsid w:val="00B6775A"/>
    <w:rsid w:val="00B707F1"/>
    <w:rsid w:val="00B7361A"/>
    <w:rsid w:val="00B7598D"/>
    <w:rsid w:val="00B75A3A"/>
    <w:rsid w:val="00B76DE0"/>
    <w:rsid w:val="00B83686"/>
    <w:rsid w:val="00B842F7"/>
    <w:rsid w:val="00B90173"/>
    <w:rsid w:val="00B91036"/>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541D"/>
    <w:rsid w:val="00BD5760"/>
    <w:rsid w:val="00BD615C"/>
    <w:rsid w:val="00BD6D5F"/>
    <w:rsid w:val="00BE15D1"/>
    <w:rsid w:val="00BE29BB"/>
    <w:rsid w:val="00BE31C1"/>
    <w:rsid w:val="00BE4712"/>
    <w:rsid w:val="00BE4CA8"/>
    <w:rsid w:val="00BE50E3"/>
    <w:rsid w:val="00BE5FA7"/>
    <w:rsid w:val="00BE7FF2"/>
    <w:rsid w:val="00BF01E8"/>
    <w:rsid w:val="00BF0CB7"/>
    <w:rsid w:val="00BF10C4"/>
    <w:rsid w:val="00BF1DC5"/>
    <w:rsid w:val="00BF3AC5"/>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4FD1"/>
    <w:rsid w:val="00C6580F"/>
    <w:rsid w:val="00C65E90"/>
    <w:rsid w:val="00C71507"/>
    <w:rsid w:val="00C74189"/>
    <w:rsid w:val="00C74D6C"/>
    <w:rsid w:val="00C75ACA"/>
    <w:rsid w:val="00C7774D"/>
    <w:rsid w:val="00C777DF"/>
    <w:rsid w:val="00C81374"/>
    <w:rsid w:val="00C869EF"/>
    <w:rsid w:val="00C86FC4"/>
    <w:rsid w:val="00C90D24"/>
    <w:rsid w:val="00C91248"/>
    <w:rsid w:val="00C92048"/>
    <w:rsid w:val="00C92D6A"/>
    <w:rsid w:val="00C93D42"/>
    <w:rsid w:val="00C967F5"/>
    <w:rsid w:val="00C969B3"/>
    <w:rsid w:val="00C9730F"/>
    <w:rsid w:val="00C97434"/>
    <w:rsid w:val="00CA54FF"/>
    <w:rsid w:val="00CA630A"/>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150C"/>
    <w:rsid w:val="00D116B6"/>
    <w:rsid w:val="00D11DDB"/>
    <w:rsid w:val="00D178A6"/>
    <w:rsid w:val="00D202DA"/>
    <w:rsid w:val="00D2037D"/>
    <w:rsid w:val="00D21DA0"/>
    <w:rsid w:val="00D2220F"/>
    <w:rsid w:val="00D23289"/>
    <w:rsid w:val="00D24842"/>
    <w:rsid w:val="00D25674"/>
    <w:rsid w:val="00D26113"/>
    <w:rsid w:val="00D303CC"/>
    <w:rsid w:val="00D30715"/>
    <w:rsid w:val="00D3418C"/>
    <w:rsid w:val="00D34730"/>
    <w:rsid w:val="00D34E3D"/>
    <w:rsid w:val="00D40A27"/>
    <w:rsid w:val="00D41C0B"/>
    <w:rsid w:val="00D42359"/>
    <w:rsid w:val="00D42A7D"/>
    <w:rsid w:val="00D43511"/>
    <w:rsid w:val="00D445CA"/>
    <w:rsid w:val="00D46559"/>
    <w:rsid w:val="00D471B1"/>
    <w:rsid w:val="00D47CEF"/>
    <w:rsid w:val="00D528CD"/>
    <w:rsid w:val="00D53F3B"/>
    <w:rsid w:val="00D55155"/>
    <w:rsid w:val="00D55457"/>
    <w:rsid w:val="00D617CB"/>
    <w:rsid w:val="00D62ED0"/>
    <w:rsid w:val="00D63D67"/>
    <w:rsid w:val="00D64214"/>
    <w:rsid w:val="00D64EE1"/>
    <w:rsid w:val="00D72098"/>
    <w:rsid w:val="00D736DB"/>
    <w:rsid w:val="00D738EA"/>
    <w:rsid w:val="00D80954"/>
    <w:rsid w:val="00D82686"/>
    <w:rsid w:val="00D82D3D"/>
    <w:rsid w:val="00D8372D"/>
    <w:rsid w:val="00D863DD"/>
    <w:rsid w:val="00D87FA5"/>
    <w:rsid w:val="00D97023"/>
    <w:rsid w:val="00D97CDA"/>
    <w:rsid w:val="00DA01D2"/>
    <w:rsid w:val="00DA0B3D"/>
    <w:rsid w:val="00DA0CAE"/>
    <w:rsid w:val="00DA5AB8"/>
    <w:rsid w:val="00DA5C98"/>
    <w:rsid w:val="00DB15BE"/>
    <w:rsid w:val="00DB19B3"/>
    <w:rsid w:val="00DB4F70"/>
    <w:rsid w:val="00DB5CCE"/>
    <w:rsid w:val="00DC03CA"/>
    <w:rsid w:val="00DC0B70"/>
    <w:rsid w:val="00DD0331"/>
    <w:rsid w:val="00DD0E06"/>
    <w:rsid w:val="00DD1280"/>
    <w:rsid w:val="00DD1D93"/>
    <w:rsid w:val="00DE0438"/>
    <w:rsid w:val="00DE2B5F"/>
    <w:rsid w:val="00DE2CAA"/>
    <w:rsid w:val="00DE2D95"/>
    <w:rsid w:val="00DE3493"/>
    <w:rsid w:val="00DE4B79"/>
    <w:rsid w:val="00DE657A"/>
    <w:rsid w:val="00DE786D"/>
    <w:rsid w:val="00DF08BD"/>
    <w:rsid w:val="00DF249F"/>
    <w:rsid w:val="00DF2D57"/>
    <w:rsid w:val="00DF3BBC"/>
    <w:rsid w:val="00DF3F48"/>
    <w:rsid w:val="00DF3FB6"/>
    <w:rsid w:val="00DF4221"/>
    <w:rsid w:val="00DF59DC"/>
    <w:rsid w:val="00DF6306"/>
    <w:rsid w:val="00DF7E4A"/>
    <w:rsid w:val="00E03FBA"/>
    <w:rsid w:val="00E078C8"/>
    <w:rsid w:val="00E102EF"/>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6EA1"/>
    <w:rsid w:val="00E37122"/>
    <w:rsid w:val="00E377F8"/>
    <w:rsid w:val="00E3787D"/>
    <w:rsid w:val="00E41898"/>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3E19"/>
    <w:rsid w:val="00EB45DB"/>
    <w:rsid w:val="00EB589B"/>
    <w:rsid w:val="00EB5F01"/>
    <w:rsid w:val="00EB6BD1"/>
    <w:rsid w:val="00EB6D68"/>
    <w:rsid w:val="00EB7D0D"/>
    <w:rsid w:val="00EC36E9"/>
    <w:rsid w:val="00EC6008"/>
    <w:rsid w:val="00EC69AA"/>
    <w:rsid w:val="00ED1171"/>
    <w:rsid w:val="00ED23F0"/>
    <w:rsid w:val="00ED2F33"/>
    <w:rsid w:val="00ED43EB"/>
    <w:rsid w:val="00ED4B71"/>
    <w:rsid w:val="00ED5922"/>
    <w:rsid w:val="00EE032A"/>
    <w:rsid w:val="00EE1BCC"/>
    <w:rsid w:val="00EE1EB5"/>
    <w:rsid w:val="00EE303D"/>
    <w:rsid w:val="00EE38F3"/>
    <w:rsid w:val="00EE3BCC"/>
    <w:rsid w:val="00EF11B1"/>
    <w:rsid w:val="00F0039E"/>
    <w:rsid w:val="00F009F2"/>
    <w:rsid w:val="00F03B13"/>
    <w:rsid w:val="00F04DFA"/>
    <w:rsid w:val="00F06A7B"/>
    <w:rsid w:val="00F07010"/>
    <w:rsid w:val="00F166D3"/>
    <w:rsid w:val="00F17C04"/>
    <w:rsid w:val="00F20174"/>
    <w:rsid w:val="00F2291F"/>
    <w:rsid w:val="00F245C7"/>
    <w:rsid w:val="00F30AA9"/>
    <w:rsid w:val="00F31D49"/>
    <w:rsid w:val="00F5682A"/>
    <w:rsid w:val="00F56A0B"/>
    <w:rsid w:val="00F56A0C"/>
    <w:rsid w:val="00F60983"/>
    <w:rsid w:val="00F61B48"/>
    <w:rsid w:val="00F6243D"/>
    <w:rsid w:val="00F62C13"/>
    <w:rsid w:val="00F630D8"/>
    <w:rsid w:val="00F66730"/>
    <w:rsid w:val="00F6788D"/>
    <w:rsid w:val="00F67A39"/>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2BA1"/>
    <w:rsid w:val="00FB36A6"/>
    <w:rsid w:val="00FC0184"/>
    <w:rsid w:val="00FC3567"/>
    <w:rsid w:val="00FC4BB6"/>
    <w:rsid w:val="00FC51CD"/>
    <w:rsid w:val="00FC5F6A"/>
    <w:rsid w:val="00FC6E32"/>
    <w:rsid w:val="00FD075A"/>
    <w:rsid w:val="00FD30D0"/>
    <w:rsid w:val="00FD4654"/>
    <w:rsid w:val="00FE05B1"/>
    <w:rsid w:val="00FE2C98"/>
    <w:rsid w:val="00FE3224"/>
    <w:rsid w:val="00FE3FBC"/>
    <w:rsid w:val="00FE4580"/>
    <w:rsid w:val="00FE688C"/>
    <w:rsid w:val="00FF29E7"/>
    <w:rsid w:val="00FF2AA5"/>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3.xml><?xml version="1.0" encoding="utf-8"?>
<ds:datastoreItem xmlns:ds="http://schemas.openxmlformats.org/officeDocument/2006/customXml" ds:itemID="{B3DB9CDA-393E-4977-8121-52C29780264A}">
  <ds:schemaRefs>
    <ds:schemaRef ds:uri="http://schemas.openxmlformats.org/officeDocument/2006/bibliography"/>
  </ds:schemaRefs>
</ds:datastoreItem>
</file>

<file path=customXml/itemProps4.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2022-06-30T22:11:00Z</dcterms:created>
  <dcterms:modified xsi:type="dcterms:W3CDTF">2022-06-30T22:11:00Z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